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C114B" w14:textId="77777777" w:rsidR="002B5C78" w:rsidRDefault="000E1A00">
      <w:pPr>
        <w:spacing w:line="560" w:lineRule="exact"/>
        <w:jc w:val="center"/>
        <w:rPr>
          <w:rFonts w:ascii="方正小标宋简体" w:eastAsia="方正小标宋简体" w:hAnsi="方正小标宋简体" w:cs="方正小标宋简体"/>
          <w:color w:val="000000" w:themeColor="text1"/>
          <w:sz w:val="44"/>
          <w:szCs w:val="44"/>
        </w:rPr>
      </w:pPr>
      <w:r>
        <w:rPr>
          <w:rFonts w:ascii="方正小标宋简体" w:eastAsia="方正小标宋简体" w:hAnsi="方正小标宋简体" w:cs="方正小标宋简体" w:hint="eastAsia"/>
          <w:color w:val="000000" w:themeColor="text1"/>
          <w:sz w:val="44"/>
          <w:szCs w:val="44"/>
        </w:rPr>
        <w:t>关于</w:t>
      </w:r>
      <w:r>
        <w:rPr>
          <w:rFonts w:ascii="方正小标宋简体" w:eastAsia="方正小标宋简体" w:hAnsi="方正小标宋简体" w:cs="方正小标宋简体" w:hint="eastAsia"/>
          <w:color w:val="000000" w:themeColor="text1"/>
          <w:sz w:val="44"/>
          <w:szCs w:val="44"/>
        </w:rPr>
        <w:t>促进药品</w:t>
      </w:r>
      <w:r>
        <w:rPr>
          <w:rFonts w:ascii="方正小标宋简体" w:eastAsia="方正小标宋简体" w:hAnsi="方正小标宋简体" w:cs="方正小标宋简体" w:hint="eastAsia"/>
          <w:color w:val="000000" w:themeColor="text1"/>
          <w:sz w:val="44"/>
          <w:szCs w:val="44"/>
        </w:rPr>
        <w:t>流通行业</w:t>
      </w:r>
      <w:r>
        <w:rPr>
          <w:rFonts w:ascii="方正小标宋简体" w:eastAsia="方正小标宋简体" w:hAnsi="方正小标宋简体" w:cs="方正小标宋简体" w:hint="eastAsia"/>
          <w:color w:val="000000" w:themeColor="text1"/>
          <w:sz w:val="44"/>
          <w:szCs w:val="44"/>
        </w:rPr>
        <w:t>高质量</w:t>
      </w:r>
    </w:p>
    <w:p w14:paraId="08003B79" w14:textId="77777777" w:rsidR="002B5C78" w:rsidRDefault="000E1A00">
      <w:pPr>
        <w:spacing w:line="560" w:lineRule="exact"/>
        <w:jc w:val="center"/>
        <w:rPr>
          <w:rFonts w:ascii="方正小标宋简体" w:eastAsia="方正小标宋简体" w:hAnsi="方正小标宋简体" w:cs="方正小标宋简体"/>
          <w:color w:val="000000" w:themeColor="text1"/>
          <w:sz w:val="44"/>
          <w:szCs w:val="44"/>
        </w:rPr>
      </w:pPr>
      <w:r>
        <w:rPr>
          <w:rFonts w:ascii="方正小标宋简体" w:eastAsia="方正小标宋简体" w:hAnsi="方正小标宋简体" w:cs="方正小标宋简体" w:hint="eastAsia"/>
          <w:color w:val="000000" w:themeColor="text1"/>
          <w:sz w:val="44"/>
          <w:szCs w:val="44"/>
        </w:rPr>
        <w:t>发展</w:t>
      </w:r>
      <w:r>
        <w:rPr>
          <w:rFonts w:ascii="方正小标宋简体" w:eastAsia="方正小标宋简体" w:hAnsi="方正小标宋简体" w:cs="方正小标宋简体" w:hint="eastAsia"/>
          <w:color w:val="000000" w:themeColor="text1"/>
          <w:sz w:val="44"/>
          <w:szCs w:val="44"/>
        </w:rPr>
        <w:t>的落实</w:t>
      </w:r>
      <w:r>
        <w:rPr>
          <w:rFonts w:ascii="方正小标宋简体" w:eastAsia="方正小标宋简体" w:hAnsi="方正小标宋简体" w:cs="方正小标宋简体" w:hint="eastAsia"/>
          <w:color w:val="000000" w:themeColor="text1"/>
          <w:sz w:val="44"/>
          <w:szCs w:val="44"/>
        </w:rPr>
        <w:t>措施</w:t>
      </w:r>
    </w:p>
    <w:p w14:paraId="0BF6408A" w14:textId="77777777" w:rsidR="002B5C78" w:rsidRDefault="000E1A00">
      <w:pPr>
        <w:spacing w:line="560" w:lineRule="exact"/>
        <w:jc w:val="center"/>
        <w:rPr>
          <w:rFonts w:ascii="楷体" w:eastAsia="楷体" w:hAnsi="楷体" w:cs="楷体"/>
          <w:color w:val="000000" w:themeColor="text1"/>
          <w:sz w:val="32"/>
          <w:szCs w:val="32"/>
        </w:rPr>
      </w:pPr>
      <w:r>
        <w:rPr>
          <w:rFonts w:ascii="楷体" w:eastAsia="楷体" w:hAnsi="楷体" w:cs="楷体" w:hint="eastAsia"/>
          <w:color w:val="000000" w:themeColor="text1"/>
          <w:sz w:val="32"/>
          <w:szCs w:val="32"/>
        </w:rPr>
        <w:t>（</w:t>
      </w:r>
      <w:r>
        <w:rPr>
          <w:rFonts w:ascii="楷体" w:eastAsia="楷体" w:hAnsi="楷体" w:cs="楷体" w:hint="eastAsia"/>
          <w:color w:val="000000" w:themeColor="text1"/>
          <w:sz w:val="32"/>
          <w:szCs w:val="32"/>
        </w:rPr>
        <w:t>征求意见稿</w:t>
      </w:r>
      <w:r>
        <w:rPr>
          <w:rFonts w:ascii="楷体" w:eastAsia="楷体" w:hAnsi="楷体" w:cs="楷体" w:hint="eastAsia"/>
          <w:color w:val="000000" w:themeColor="text1"/>
          <w:sz w:val="32"/>
          <w:szCs w:val="32"/>
        </w:rPr>
        <w:t>）</w:t>
      </w:r>
    </w:p>
    <w:p w14:paraId="0116AEBA" w14:textId="77777777" w:rsidR="002B5C78" w:rsidRDefault="002B5C78">
      <w:pPr>
        <w:spacing w:line="560" w:lineRule="exact"/>
        <w:jc w:val="center"/>
        <w:rPr>
          <w:rFonts w:ascii="楷体" w:eastAsia="楷体" w:hAnsi="楷体" w:cs="楷体"/>
          <w:color w:val="000000" w:themeColor="text1"/>
          <w:sz w:val="32"/>
          <w:szCs w:val="32"/>
        </w:rPr>
      </w:pPr>
    </w:p>
    <w:p w14:paraId="5E39B8B6" w14:textId="77777777" w:rsidR="002B5C78" w:rsidRDefault="000E1A00">
      <w:pPr>
        <w:spacing w:line="360" w:lineRule="auto"/>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为贯彻落实</w:t>
      </w:r>
      <w:r>
        <w:rPr>
          <w:rFonts w:ascii="仿宋_GB2312" w:eastAsia="仿宋_GB2312" w:hAnsi="仿宋_GB2312" w:cs="仿宋_GB2312" w:hint="eastAsia"/>
          <w:color w:val="000000" w:themeColor="text1"/>
          <w:kern w:val="0"/>
          <w:sz w:val="32"/>
          <w:szCs w:val="32"/>
          <w:lang w:bidi="ar"/>
        </w:rPr>
        <w:t>《国务院办公厅关于全面深化药品医疗器械监管改革促进医药产业高质量发展的意见》（国办发〔</w:t>
      </w:r>
      <w:r>
        <w:rPr>
          <w:rFonts w:ascii="仿宋_GB2312" w:eastAsia="仿宋_GB2312" w:hAnsi="仿宋_GB2312" w:cs="仿宋_GB2312" w:hint="eastAsia"/>
          <w:color w:val="000000" w:themeColor="text1"/>
          <w:kern w:val="0"/>
          <w:sz w:val="32"/>
          <w:szCs w:val="32"/>
          <w:lang w:bidi="ar"/>
        </w:rPr>
        <w:t>2024</w:t>
      </w:r>
      <w:r>
        <w:rPr>
          <w:rFonts w:ascii="仿宋_GB2312" w:eastAsia="仿宋_GB2312" w:hAnsi="仿宋_GB2312" w:cs="仿宋_GB2312" w:hint="eastAsia"/>
          <w:color w:val="000000" w:themeColor="text1"/>
          <w:kern w:val="0"/>
          <w:sz w:val="32"/>
          <w:szCs w:val="32"/>
          <w:lang w:bidi="ar"/>
        </w:rPr>
        <w:t>〕</w:t>
      </w:r>
      <w:r>
        <w:rPr>
          <w:rFonts w:ascii="仿宋_GB2312" w:eastAsia="仿宋_GB2312" w:hAnsi="仿宋_GB2312" w:cs="仿宋_GB2312" w:hint="eastAsia"/>
          <w:color w:val="000000" w:themeColor="text1"/>
          <w:kern w:val="0"/>
          <w:sz w:val="32"/>
          <w:szCs w:val="32"/>
          <w:lang w:bidi="ar"/>
        </w:rPr>
        <w:t>53</w:t>
      </w:r>
      <w:r>
        <w:rPr>
          <w:rFonts w:ascii="仿宋_GB2312" w:eastAsia="仿宋_GB2312" w:hAnsi="仿宋_GB2312" w:cs="仿宋_GB2312" w:hint="eastAsia"/>
          <w:color w:val="000000" w:themeColor="text1"/>
          <w:kern w:val="0"/>
          <w:sz w:val="32"/>
          <w:szCs w:val="32"/>
          <w:lang w:bidi="ar"/>
        </w:rPr>
        <w:t>号）、</w:t>
      </w:r>
      <w:r>
        <w:rPr>
          <w:rFonts w:ascii="仿宋_GB2312" w:eastAsia="仿宋_GB2312" w:hAnsi="仿宋_GB2312" w:cs="仿宋_GB2312" w:hint="eastAsia"/>
          <w:color w:val="000000" w:themeColor="text1"/>
          <w:sz w:val="32"/>
          <w:szCs w:val="32"/>
        </w:rPr>
        <w:t>国家</w:t>
      </w:r>
      <w:r>
        <w:rPr>
          <w:rFonts w:ascii="仿宋_GB2312" w:eastAsia="仿宋_GB2312" w:hAnsi="仿宋_GB2312" w:cs="仿宋_GB2312" w:hint="eastAsia"/>
          <w:color w:val="000000" w:themeColor="text1"/>
          <w:sz w:val="32"/>
          <w:szCs w:val="32"/>
        </w:rPr>
        <w:t>9</w:t>
      </w:r>
      <w:r>
        <w:rPr>
          <w:rFonts w:ascii="仿宋_GB2312" w:eastAsia="仿宋_GB2312" w:hAnsi="仿宋_GB2312" w:cs="仿宋_GB2312" w:hint="eastAsia"/>
          <w:color w:val="000000" w:themeColor="text1"/>
          <w:sz w:val="32"/>
          <w:szCs w:val="32"/>
        </w:rPr>
        <w:t>部门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关于</w:t>
      </w:r>
      <w:r>
        <w:rPr>
          <w:rFonts w:ascii="仿宋_GB2312" w:eastAsia="仿宋_GB2312" w:hAnsi="仿宋_GB2312" w:cs="仿宋_GB2312" w:hint="eastAsia"/>
          <w:color w:val="000000" w:themeColor="text1"/>
          <w:sz w:val="32"/>
          <w:szCs w:val="32"/>
        </w:rPr>
        <w:t>促进</w:t>
      </w:r>
      <w:r>
        <w:rPr>
          <w:rFonts w:ascii="仿宋_GB2312" w:eastAsia="仿宋_GB2312" w:hAnsi="仿宋_GB2312" w:cs="仿宋_GB2312" w:hint="eastAsia"/>
          <w:color w:val="000000" w:themeColor="text1"/>
          <w:sz w:val="32"/>
          <w:szCs w:val="32"/>
        </w:rPr>
        <w:t>药品零售行业</w:t>
      </w:r>
      <w:r>
        <w:rPr>
          <w:rFonts w:ascii="仿宋_GB2312" w:eastAsia="仿宋_GB2312" w:hAnsi="仿宋_GB2312" w:cs="仿宋_GB2312" w:hint="eastAsia"/>
          <w:color w:val="000000" w:themeColor="text1"/>
          <w:sz w:val="32"/>
          <w:szCs w:val="32"/>
        </w:rPr>
        <w:t>高质量发展的意见》（</w:t>
      </w:r>
      <w:proofErr w:type="gramStart"/>
      <w:r>
        <w:rPr>
          <w:rFonts w:ascii="仿宋_GB2312" w:eastAsia="仿宋_GB2312" w:hAnsi="仿宋_GB2312" w:cs="仿宋_GB2312" w:hint="eastAsia"/>
          <w:color w:val="000000" w:themeColor="text1"/>
          <w:sz w:val="32"/>
          <w:szCs w:val="32"/>
        </w:rPr>
        <w:t>商消费函</w:t>
      </w:r>
      <w:proofErr w:type="gramEnd"/>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202</w:t>
      </w:r>
      <w:r>
        <w:rPr>
          <w:rFonts w:ascii="仿宋_GB2312" w:eastAsia="仿宋_GB2312" w:hAnsi="仿宋_GB2312" w:cs="仿宋_GB2312" w:hint="eastAsia"/>
          <w:color w:val="000000" w:themeColor="text1"/>
          <w:sz w:val="32"/>
          <w:szCs w:val="32"/>
        </w:rPr>
        <w:t>6</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12</w:t>
      </w:r>
      <w:r>
        <w:rPr>
          <w:rFonts w:ascii="仿宋_GB2312" w:eastAsia="仿宋_GB2312" w:hAnsi="仿宋_GB2312" w:cs="仿宋_GB2312" w:hint="eastAsia"/>
          <w:color w:val="000000" w:themeColor="text1"/>
          <w:sz w:val="32"/>
          <w:szCs w:val="32"/>
        </w:rPr>
        <w:t>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推进药品流通行业高质量发展，</w:t>
      </w:r>
      <w:r>
        <w:rPr>
          <w:rFonts w:ascii="仿宋_GB2312" w:eastAsia="仿宋_GB2312" w:hAnsi="仿宋_GB2312" w:cs="仿宋_GB2312" w:hint="eastAsia"/>
          <w:color w:val="000000" w:themeColor="text1"/>
          <w:sz w:val="32"/>
          <w:szCs w:val="32"/>
        </w:rPr>
        <w:t>根据《药品管理法》《药品经营和使用监督管理办法》等有关法律法规，结合我省实际，制定</w:t>
      </w:r>
      <w:r>
        <w:rPr>
          <w:rFonts w:ascii="仿宋_GB2312" w:eastAsia="仿宋_GB2312" w:hAnsi="仿宋_GB2312" w:cs="仿宋_GB2312" w:hint="eastAsia"/>
          <w:color w:val="000000" w:themeColor="text1"/>
          <w:sz w:val="32"/>
          <w:szCs w:val="32"/>
        </w:rPr>
        <w:t>相关落实</w:t>
      </w:r>
      <w:r>
        <w:rPr>
          <w:rFonts w:ascii="仿宋_GB2312" w:eastAsia="仿宋_GB2312" w:hAnsi="仿宋_GB2312" w:cs="仿宋_GB2312" w:hint="eastAsia"/>
          <w:color w:val="000000" w:themeColor="text1"/>
          <w:sz w:val="32"/>
          <w:szCs w:val="32"/>
        </w:rPr>
        <w:t>措施如下：</w:t>
      </w:r>
    </w:p>
    <w:p w14:paraId="676FFF39" w14:textId="77777777" w:rsidR="002B5C78" w:rsidRDefault="000E1A00">
      <w:pPr>
        <w:pStyle w:val="a5"/>
        <w:widowControl/>
        <w:spacing w:beforeAutospacing="0" w:afterAutospacing="0" w:line="360" w:lineRule="auto"/>
        <w:ind w:firstLineChars="200" w:firstLine="640"/>
        <w:jc w:val="both"/>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一、</w:t>
      </w:r>
      <w:r>
        <w:rPr>
          <w:rFonts w:ascii="黑体" w:eastAsia="黑体" w:hAnsi="黑体" w:cs="黑体" w:hint="eastAsia"/>
          <w:color w:val="000000" w:themeColor="text1"/>
          <w:sz w:val="32"/>
          <w:szCs w:val="32"/>
        </w:rPr>
        <w:t>支持</w:t>
      </w:r>
      <w:r>
        <w:rPr>
          <w:rFonts w:ascii="黑体" w:eastAsia="黑体" w:hAnsi="黑体" w:cs="黑体" w:hint="eastAsia"/>
          <w:color w:val="000000" w:themeColor="text1"/>
          <w:sz w:val="32"/>
          <w:szCs w:val="32"/>
        </w:rPr>
        <w:t>药品零售企业</w:t>
      </w:r>
      <w:r>
        <w:rPr>
          <w:rFonts w:ascii="黑体" w:eastAsia="黑体" w:hAnsi="黑体" w:cs="黑体" w:hint="eastAsia"/>
          <w:color w:val="000000" w:themeColor="text1"/>
          <w:sz w:val="32"/>
          <w:szCs w:val="32"/>
        </w:rPr>
        <w:t>兼并重组</w:t>
      </w:r>
    </w:p>
    <w:p w14:paraId="4E9F2298" w14:textId="77777777" w:rsidR="002B5C78" w:rsidRDefault="000E1A00">
      <w:pPr>
        <w:pStyle w:val="a5"/>
        <w:widowControl/>
        <w:numPr>
          <w:ilvl w:val="0"/>
          <w:numId w:val="1"/>
        </w:numPr>
        <w:spacing w:beforeAutospacing="0" w:afterAutospacing="0" w:line="360" w:lineRule="auto"/>
        <w:ind w:firstLineChars="200" w:firstLine="640"/>
        <w:jc w:val="both"/>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鼓励药品零售连锁企业利用参股、重组、兼并、合作等方式，整合其他药品零售企业。药品零售连锁企业在省内开展整合并购时，被整合的连锁企业及其门店、单体零售药店（包括个人独资企业）如仅是经营主体</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零售药店名称、法定代表人</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发生变化，原主体的经营场所、设施、关键岗位人员、经营范围等未发生变化的，按《药品经营许可证》变更登记事项办理，不再进行现场检查验收。</w:t>
      </w:r>
    </w:p>
    <w:p w14:paraId="49FF08D8" w14:textId="77777777" w:rsidR="002B5C78" w:rsidRDefault="000E1A00">
      <w:pPr>
        <w:pStyle w:val="a5"/>
        <w:widowControl/>
        <w:numPr>
          <w:ilvl w:val="0"/>
          <w:numId w:val="1"/>
        </w:numPr>
        <w:spacing w:beforeAutospacing="0" w:afterAutospacing="0" w:line="360" w:lineRule="auto"/>
        <w:ind w:firstLineChars="200" w:firstLine="640"/>
        <w:jc w:val="both"/>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药品零售连锁企业门</w:t>
      </w:r>
      <w:proofErr w:type="gramStart"/>
      <w:r>
        <w:rPr>
          <w:rFonts w:ascii="仿宋_GB2312" w:eastAsia="仿宋_GB2312" w:hAnsi="仿宋_GB2312" w:cs="仿宋_GB2312" w:hint="eastAsia"/>
          <w:color w:val="000000" w:themeColor="text1"/>
          <w:sz w:val="32"/>
          <w:szCs w:val="32"/>
        </w:rPr>
        <w:t>店</w:t>
      </w:r>
      <w:r>
        <w:rPr>
          <w:rFonts w:ascii="仿宋_GB2312" w:eastAsia="仿宋_GB2312" w:hAnsi="仿宋_GB2312" w:cs="仿宋_GB2312" w:hint="eastAsia"/>
          <w:color w:val="000000" w:themeColor="text1"/>
          <w:sz w:val="32"/>
          <w:szCs w:val="32"/>
        </w:rPr>
        <w:t>申请</w:t>
      </w:r>
      <w:proofErr w:type="gramEnd"/>
      <w:r>
        <w:rPr>
          <w:rFonts w:ascii="仿宋_GB2312" w:eastAsia="仿宋_GB2312" w:hAnsi="仿宋_GB2312" w:cs="仿宋_GB2312" w:hint="eastAsia"/>
          <w:color w:val="000000" w:themeColor="text1"/>
          <w:sz w:val="32"/>
          <w:szCs w:val="32"/>
        </w:rPr>
        <w:t>退出连锁经营</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需</w:t>
      </w:r>
      <w:r>
        <w:rPr>
          <w:rFonts w:ascii="仿宋_GB2312" w:eastAsia="仿宋_GB2312" w:hAnsi="仿宋_GB2312" w:cs="仿宋_GB2312" w:hint="eastAsia"/>
          <w:color w:val="000000" w:themeColor="text1"/>
          <w:sz w:val="32"/>
          <w:szCs w:val="32"/>
        </w:rPr>
        <w:t>经监管部门核查</w:t>
      </w:r>
      <w:r>
        <w:rPr>
          <w:rFonts w:ascii="仿宋_GB2312" w:eastAsia="仿宋_GB2312" w:hAnsi="仿宋_GB2312" w:cs="仿宋_GB2312" w:hint="eastAsia"/>
          <w:color w:val="000000" w:themeColor="text1"/>
          <w:sz w:val="32"/>
          <w:szCs w:val="32"/>
        </w:rPr>
        <w:t>不</w:t>
      </w:r>
      <w:r>
        <w:rPr>
          <w:rFonts w:ascii="仿宋_GB2312" w:eastAsia="仿宋_GB2312" w:hAnsi="仿宋_GB2312" w:cs="仿宋_GB2312" w:hint="eastAsia"/>
          <w:color w:val="000000" w:themeColor="text1"/>
          <w:sz w:val="32"/>
          <w:szCs w:val="32"/>
        </w:rPr>
        <w:t>存在违法违规行为后方可办理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如</w:t>
      </w:r>
      <w:r>
        <w:rPr>
          <w:rFonts w:ascii="仿宋_GB2312" w:eastAsia="仿宋_GB2312" w:hAnsi="仿宋_GB2312" w:cs="仿宋_GB2312" w:hint="eastAsia"/>
          <w:color w:val="000000" w:themeColor="text1"/>
          <w:sz w:val="32"/>
          <w:szCs w:val="32"/>
        </w:rPr>
        <w:t>其门店的经营场所、设施、关键岗位人员、经营范围等未发生变化，可</w:t>
      </w:r>
      <w:r>
        <w:rPr>
          <w:rFonts w:ascii="仿宋_GB2312" w:eastAsia="仿宋_GB2312" w:hAnsi="仿宋_GB2312" w:cs="仿宋_GB2312" w:hint="eastAsia"/>
          <w:color w:val="000000" w:themeColor="text1"/>
          <w:sz w:val="32"/>
          <w:szCs w:val="32"/>
        </w:rPr>
        <w:t>通过</w:t>
      </w:r>
      <w:r>
        <w:rPr>
          <w:rFonts w:ascii="仿宋_GB2312" w:eastAsia="仿宋_GB2312" w:hAnsi="仿宋_GB2312" w:cs="仿宋_GB2312" w:hint="eastAsia"/>
          <w:color w:val="000000" w:themeColor="text1"/>
          <w:sz w:val="32"/>
          <w:szCs w:val="32"/>
        </w:rPr>
        <w:t>变更程序</w:t>
      </w:r>
      <w:r>
        <w:rPr>
          <w:rFonts w:ascii="仿宋_GB2312" w:eastAsia="仿宋_GB2312" w:hAnsi="仿宋_GB2312" w:cs="仿宋_GB2312" w:hint="eastAsia"/>
          <w:color w:val="000000" w:themeColor="text1"/>
          <w:sz w:val="32"/>
          <w:szCs w:val="32"/>
        </w:rPr>
        <w:lastRenderedPageBreak/>
        <w:t>成为单体零售药店</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变更后的</w:t>
      </w:r>
      <w:r>
        <w:rPr>
          <w:rFonts w:ascii="仿宋_GB2312" w:eastAsia="仿宋_GB2312" w:hAnsi="仿宋_GB2312" w:cs="仿宋_GB2312" w:hint="eastAsia"/>
          <w:color w:val="000000" w:themeColor="text1"/>
          <w:sz w:val="32"/>
          <w:szCs w:val="32"/>
        </w:rPr>
        <w:t>30</w:t>
      </w:r>
      <w:r>
        <w:rPr>
          <w:rFonts w:ascii="仿宋_GB2312" w:eastAsia="仿宋_GB2312" w:hAnsi="仿宋_GB2312" w:cs="仿宋_GB2312" w:hint="eastAsia"/>
          <w:color w:val="000000" w:themeColor="text1"/>
          <w:sz w:val="32"/>
          <w:szCs w:val="32"/>
        </w:rPr>
        <w:t>个工作日</w:t>
      </w:r>
      <w:r>
        <w:rPr>
          <w:rFonts w:ascii="仿宋_GB2312" w:eastAsia="仿宋_GB2312" w:hAnsi="仿宋_GB2312" w:cs="仿宋_GB2312" w:hint="eastAsia"/>
          <w:color w:val="000000" w:themeColor="text1"/>
          <w:sz w:val="32"/>
          <w:szCs w:val="32"/>
        </w:rPr>
        <w:t>内由属地监管部门对其</w:t>
      </w:r>
      <w:r>
        <w:rPr>
          <w:rFonts w:ascii="仿宋_GB2312" w:eastAsia="仿宋_GB2312" w:hAnsi="仿宋_GB2312" w:cs="仿宋_GB2312" w:hint="eastAsia"/>
          <w:color w:val="000000" w:themeColor="text1"/>
          <w:sz w:val="32"/>
          <w:szCs w:val="32"/>
        </w:rPr>
        <w:t>开展</w:t>
      </w:r>
      <w:r>
        <w:rPr>
          <w:rFonts w:ascii="仿宋_GB2312" w:eastAsia="仿宋_GB2312" w:hAnsi="仿宋_GB2312" w:cs="仿宋_GB2312" w:hint="eastAsia"/>
          <w:color w:val="000000" w:themeColor="text1"/>
          <w:sz w:val="32"/>
          <w:szCs w:val="32"/>
        </w:rPr>
        <w:t>GSP</w:t>
      </w:r>
      <w:r>
        <w:rPr>
          <w:rFonts w:ascii="仿宋_GB2312" w:eastAsia="仿宋_GB2312" w:hAnsi="仿宋_GB2312" w:cs="仿宋_GB2312" w:hint="eastAsia"/>
          <w:color w:val="000000" w:themeColor="text1"/>
          <w:sz w:val="32"/>
          <w:szCs w:val="32"/>
        </w:rPr>
        <w:t>符合性检查。零售连锁</w:t>
      </w:r>
      <w:r>
        <w:rPr>
          <w:rFonts w:ascii="仿宋_GB2312" w:eastAsia="仿宋_GB2312" w:hAnsi="仿宋_GB2312" w:cs="仿宋_GB2312" w:hint="eastAsia"/>
          <w:color w:val="000000" w:themeColor="text1"/>
          <w:sz w:val="32"/>
          <w:szCs w:val="32"/>
        </w:rPr>
        <w:t>企业门店数量低于开办标准要求需</w:t>
      </w:r>
      <w:r>
        <w:rPr>
          <w:rFonts w:ascii="仿宋_GB2312" w:eastAsia="仿宋_GB2312" w:hAnsi="仿宋_GB2312" w:cs="仿宋_GB2312" w:hint="eastAsia"/>
          <w:color w:val="000000" w:themeColor="text1"/>
          <w:sz w:val="32"/>
          <w:szCs w:val="32"/>
        </w:rPr>
        <w:t>注销连锁总部《药品经营许可证》</w:t>
      </w:r>
      <w:r>
        <w:rPr>
          <w:rFonts w:ascii="仿宋_GB2312" w:eastAsia="仿宋_GB2312" w:hAnsi="仿宋_GB2312" w:cs="仿宋_GB2312" w:hint="eastAsia"/>
          <w:color w:val="000000" w:themeColor="text1"/>
          <w:sz w:val="32"/>
          <w:szCs w:val="32"/>
        </w:rPr>
        <w:t>。</w:t>
      </w:r>
    </w:p>
    <w:p w14:paraId="58032853" w14:textId="77777777" w:rsidR="002B5C78" w:rsidRDefault="000E1A00">
      <w:pPr>
        <w:pStyle w:val="a5"/>
        <w:widowControl/>
        <w:spacing w:beforeAutospacing="0" w:afterAutospacing="0" w:line="360" w:lineRule="auto"/>
        <w:ind w:firstLineChars="200" w:firstLine="640"/>
        <w:jc w:val="both"/>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三</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药品零售企业</w:t>
      </w:r>
      <w:r>
        <w:rPr>
          <w:rFonts w:ascii="仿宋_GB2312" w:eastAsia="仿宋_GB2312" w:hAnsi="仿宋_GB2312" w:cs="仿宋_GB2312" w:hint="eastAsia"/>
          <w:color w:val="000000" w:themeColor="text1"/>
          <w:sz w:val="32"/>
          <w:szCs w:val="32"/>
        </w:rPr>
        <w:t>并购</w:t>
      </w:r>
      <w:r>
        <w:rPr>
          <w:rFonts w:ascii="仿宋_GB2312" w:eastAsia="仿宋_GB2312" w:hAnsi="仿宋_GB2312" w:cs="仿宋_GB2312" w:hint="eastAsia"/>
          <w:color w:val="000000" w:themeColor="text1"/>
          <w:sz w:val="32"/>
          <w:szCs w:val="32"/>
        </w:rPr>
        <w:t>为零售连锁企业门店的，企业名称须变更为零售连锁企业</w:t>
      </w:r>
      <w:proofErr w:type="gramStart"/>
      <w:r>
        <w:rPr>
          <w:rFonts w:ascii="仿宋_GB2312" w:eastAsia="仿宋_GB2312" w:hAnsi="仿宋_GB2312" w:cs="仿宋_GB2312" w:hint="eastAsia"/>
          <w:color w:val="000000" w:themeColor="text1"/>
          <w:sz w:val="32"/>
          <w:szCs w:val="32"/>
        </w:rPr>
        <w:t>旗下门</w:t>
      </w:r>
      <w:proofErr w:type="gramEnd"/>
      <w:r>
        <w:rPr>
          <w:rFonts w:ascii="仿宋_GB2312" w:eastAsia="仿宋_GB2312" w:hAnsi="仿宋_GB2312" w:cs="仿宋_GB2312" w:hint="eastAsia"/>
          <w:color w:val="000000" w:themeColor="text1"/>
          <w:sz w:val="32"/>
          <w:szCs w:val="32"/>
        </w:rPr>
        <w:t>店名称。单体零售药店被整合前为个人独资企业的，在被整合为连锁门店</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即新设立的有限责任公司分公司</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，办理核发连锁门店《药品经营许可证》时，须注销原单体零售药店的《药品经营许可证》。</w:t>
      </w:r>
    </w:p>
    <w:p w14:paraId="0C2EDA89" w14:textId="77777777" w:rsidR="002B5C78" w:rsidRDefault="000E1A00">
      <w:pPr>
        <w:pStyle w:val="a5"/>
        <w:widowControl/>
        <w:spacing w:beforeAutospacing="0" w:afterAutospacing="0" w:line="360" w:lineRule="auto"/>
        <w:ind w:firstLineChars="200" w:firstLine="640"/>
        <w:jc w:val="both"/>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四</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企业在办理整合并购期间可不暂停原有药品经营业务，但整合并购双方须签订药品质量安全保证协议，明确责任主体，在首</w:t>
      </w:r>
      <w:proofErr w:type="gramStart"/>
      <w:r>
        <w:rPr>
          <w:rFonts w:ascii="仿宋_GB2312" w:eastAsia="仿宋_GB2312" w:hAnsi="仿宋_GB2312" w:cs="仿宋_GB2312" w:hint="eastAsia"/>
          <w:color w:val="000000" w:themeColor="text1"/>
          <w:sz w:val="32"/>
          <w:szCs w:val="32"/>
        </w:rPr>
        <w:t>营资料</w:t>
      </w:r>
      <w:proofErr w:type="gramEnd"/>
      <w:r>
        <w:rPr>
          <w:rFonts w:ascii="仿宋_GB2312" w:eastAsia="仿宋_GB2312" w:hAnsi="仿宋_GB2312" w:cs="仿宋_GB2312" w:hint="eastAsia"/>
          <w:color w:val="000000" w:themeColor="text1"/>
          <w:sz w:val="32"/>
          <w:szCs w:val="32"/>
        </w:rPr>
        <w:t>和票据齐备的条件下可将原有剩余药品转入新的企业资源管理系统</w:t>
      </w:r>
      <w:r>
        <w:rPr>
          <w:rFonts w:ascii="仿宋_GB2312" w:eastAsia="仿宋_GB2312" w:hAnsi="仿宋_GB2312" w:cs="仿宋_GB2312" w:hint="eastAsia"/>
          <w:color w:val="000000" w:themeColor="text1"/>
          <w:sz w:val="32"/>
          <w:szCs w:val="32"/>
        </w:rPr>
        <w:t>(ERP</w:t>
      </w:r>
      <w:r>
        <w:rPr>
          <w:rFonts w:ascii="仿宋_GB2312" w:eastAsia="仿宋_GB2312" w:hAnsi="仿宋_GB2312" w:cs="仿宋_GB2312" w:hint="eastAsia"/>
          <w:color w:val="000000" w:themeColor="text1"/>
          <w:sz w:val="32"/>
          <w:szCs w:val="32"/>
        </w:rPr>
        <w:t>系统</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继续销售，确保药品来源可查、去向可追、质量安全。</w:t>
      </w:r>
      <w:r>
        <w:rPr>
          <w:rFonts w:ascii="仿宋_GB2312" w:eastAsia="仿宋_GB2312" w:hAnsi="仿宋_GB2312" w:cs="仿宋_GB2312" w:hint="eastAsia"/>
          <w:color w:val="000000" w:themeColor="text1"/>
          <w:sz w:val="32"/>
          <w:szCs w:val="32"/>
        </w:rPr>
        <w:t xml:space="preserve"> </w:t>
      </w:r>
    </w:p>
    <w:p w14:paraId="7C828033" w14:textId="77777777" w:rsidR="002B5C78" w:rsidRDefault="000E1A00">
      <w:pPr>
        <w:pStyle w:val="a5"/>
        <w:widowControl/>
        <w:spacing w:beforeAutospacing="0" w:afterAutospacing="0" w:line="360" w:lineRule="auto"/>
        <w:ind w:firstLineChars="200" w:firstLine="640"/>
        <w:jc w:val="both"/>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五</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零售药店被药品零售连锁企业</w:t>
      </w:r>
      <w:r>
        <w:rPr>
          <w:rFonts w:ascii="仿宋_GB2312" w:eastAsia="仿宋_GB2312" w:hAnsi="仿宋_GB2312" w:cs="仿宋_GB2312" w:hint="eastAsia"/>
          <w:color w:val="000000" w:themeColor="text1"/>
          <w:sz w:val="32"/>
          <w:szCs w:val="32"/>
        </w:rPr>
        <w:t>重组、兼并后，原药品零售企业具有医疗保障定点资质的，若主要负责人、质量负责人和经营场所未发生变更，允许原</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保资质继续存续和使用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可</w:t>
      </w:r>
      <w:r>
        <w:rPr>
          <w:rFonts w:ascii="仿宋_GB2312" w:eastAsia="仿宋_GB2312" w:hAnsi="仿宋_GB2312" w:cs="仿宋_GB2312" w:hint="eastAsia"/>
          <w:color w:val="000000" w:themeColor="text1"/>
          <w:sz w:val="32"/>
          <w:szCs w:val="32"/>
        </w:rPr>
        <w:t>向属地医疗保障部门提出书面申请变更定点</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保资质，变更期间</w:t>
      </w:r>
      <w:proofErr w:type="gramStart"/>
      <w:r>
        <w:rPr>
          <w:rFonts w:ascii="仿宋_GB2312" w:eastAsia="仿宋_GB2312" w:hAnsi="仿宋_GB2312" w:cs="仿宋_GB2312" w:hint="eastAsia"/>
          <w:color w:val="000000" w:themeColor="text1"/>
          <w:sz w:val="32"/>
          <w:szCs w:val="32"/>
        </w:rPr>
        <w:t>医保资格</w:t>
      </w:r>
      <w:proofErr w:type="gramEnd"/>
      <w:r>
        <w:rPr>
          <w:rFonts w:ascii="仿宋_GB2312" w:eastAsia="仿宋_GB2312" w:hAnsi="仿宋_GB2312" w:cs="仿宋_GB2312" w:hint="eastAsia"/>
          <w:color w:val="000000" w:themeColor="text1"/>
          <w:sz w:val="32"/>
          <w:szCs w:val="32"/>
        </w:rPr>
        <w:t>暂不停止。新医保资质正式开通后，注销原</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保资质。</w:t>
      </w:r>
    </w:p>
    <w:p w14:paraId="357D1AD7" w14:textId="77777777" w:rsidR="002B5C78" w:rsidRDefault="000E1A00">
      <w:pPr>
        <w:pStyle w:val="a5"/>
        <w:widowControl/>
        <w:spacing w:beforeAutospacing="0" w:afterAutospacing="0" w:line="360" w:lineRule="auto"/>
        <w:ind w:firstLineChars="200" w:firstLine="640"/>
        <w:jc w:val="both"/>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二、完善</w:t>
      </w:r>
      <w:r>
        <w:rPr>
          <w:rStyle w:val="a6"/>
          <w:rFonts w:ascii="黑体" w:eastAsia="黑体" w:hAnsi="黑体" w:cs="黑体" w:hint="eastAsia"/>
          <w:b w:val="0"/>
          <w:bCs/>
          <w:color w:val="000000" w:themeColor="text1"/>
          <w:sz w:val="32"/>
          <w:szCs w:val="32"/>
        </w:rPr>
        <w:t>提升</w:t>
      </w:r>
      <w:r>
        <w:rPr>
          <w:rFonts w:ascii="黑体" w:eastAsia="黑体" w:hAnsi="黑体" w:cs="黑体" w:hint="eastAsia"/>
          <w:bCs/>
          <w:color w:val="000000" w:themeColor="text1"/>
          <w:sz w:val="32"/>
          <w:szCs w:val="32"/>
        </w:rPr>
        <w:t>药学服务能力</w:t>
      </w:r>
    </w:p>
    <w:p w14:paraId="1B7B7CC1" w14:textId="77777777" w:rsidR="002B5C78" w:rsidRDefault="000E1A00">
      <w:pPr>
        <w:widowControl/>
        <w:spacing w:line="360" w:lineRule="auto"/>
        <w:ind w:firstLineChars="200" w:firstLine="640"/>
        <w:jc w:val="left"/>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sz w:val="32"/>
          <w:szCs w:val="32"/>
        </w:rPr>
        <w:lastRenderedPageBreak/>
        <w:t>（</w:t>
      </w:r>
      <w:r>
        <w:rPr>
          <w:rFonts w:ascii="仿宋_GB2312" w:eastAsia="仿宋_GB2312" w:hAnsi="仿宋_GB2312" w:cs="仿宋_GB2312" w:hint="eastAsia"/>
          <w:color w:val="000000" w:themeColor="text1"/>
          <w:sz w:val="32"/>
          <w:szCs w:val="32"/>
        </w:rPr>
        <w:t>六</w:t>
      </w:r>
      <w:r>
        <w:rPr>
          <w:rFonts w:ascii="仿宋_GB2312" w:eastAsia="仿宋_GB2312" w:hAnsi="仿宋_GB2312" w:cs="仿宋_GB2312" w:hint="eastAsia"/>
          <w:color w:val="000000" w:themeColor="text1"/>
          <w:sz w:val="32"/>
          <w:szCs w:val="32"/>
        </w:rPr>
        <w:t>）完善优化零售药店药学服务</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加强药学技术人员业务培训，鼓励药品零售企业配备执业药师团队与健康顾问</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包括健康管理师、营养师、心理咨询师</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等复合型人才</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提升专业服务能力。允许药品零售连锁企业总部自建药学服务平台</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远程审方中心</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，由注册在总部的执业药师承担远程处方审核、合理用药指导等药事服务，药学服务平台可作为执业药师和相关药学服务人员</w:t>
      </w:r>
      <w:proofErr w:type="gramStart"/>
      <w:r>
        <w:rPr>
          <w:rFonts w:ascii="仿宋_GB2312" w:eastAsia="仿宋_GB2312" w:hAnsi="仿宋_GB2312" w:cs="仿宋_GB2312" w:hint="eastAsia"/>
          <w:color w:val="000000" w:themeColor="text1"/>
          <w:sz w:val="32"/>
          <w:szCs w:val="32"/>
        </w:rPr>
        <w:t>不</w:t>
      </w:r>
      <w:proofErr w:type="gramEnd"/>
      <w:r>
        <w:rPr>
          <w:rFonts w:ascii="仿宋_GB2312" w:eastAsia="仿宋_GB2312" w:hAnsi="仿宋_GB2312" w:cs="仿宋_GB2312" w:hint="eastAsia"/>
          <w:color w:val="000000" w:themeColor="text1"/>
          <w:sz w:val="32"/>
          <w:szCs w:val="32"/>
        </w:rPr>
        <w:t>在岗期间或非工作时段的补充服务</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鼓励</w:t>
      </w:r>
      <w:r>
        <w:rPr>
          <w:rFonts w:ascii="仿宋_GB2312" w:eastAsia="仿宋_GB2312" w:hAnsi="仿宋_GB2312" w:cs="仿宋_GB2312" w:hint="eastAsia"/>
          <w:color w:val="000000" w:themeColor="text1"/>
          <w:sz w:val="32"/>
          <w:szCs w:val="32"/>
        </w:rPr>
        <w:t>药品零售连锁企业</w:t>
      </w:r>
      <w:r>
        <w:rPr>
          <w:rFonts w:ascii="仿宋_GB2312" w:eastAsia="仿宋_GB2312" w:hAnsi="仿宋_GB2312" w:cs="仿宋_GB2312" w:hint="eastAsia"/>
          <w:color w:val="000000" w:themeColor="text1"/>
          <w:kern w:val="0"/>
          <w:sz w:val="32"/>
          <w:szCs w:val="32"/>
          <w:lang w:bidi="ar"/>
        </w:rPr>
        <w:t>依托数字化手段探索推行执业药师在岗动态打卡核验，实现执业药师在岗履职全程可查、可溯、可监管。</w:t>
      </w:r>
    </w:p>
    <w:p w14:paraId="6B6DB900" w14:textId="77777777" w:rsidR="002B5C78" w:rsidRDefault="000E1A00">
      <w:pPr>
        <w:widowControl/>
        <w:spacing w:line="360" w:lineRule="auto"/>
        <w:ind w:firstLineChars="200" w:firstLine="640"/>
        <w:jc w:val="left"/>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七</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建设远程审方中心的连锁总部</w:t>
      </w:r>
      <w:r>
        <w:rPr>
          <w:rFonts w:ascii="仿宋_GB2312" w:eastAsia="仿宋_GB2312" w:hAnsi="仿宋_GB2312" w:cs="仿宋_GB2312" w:hint="eastAsia"/>
          <w:color w:val="000000" w:themeColor="text1"/>
          <w:kern w:val="0"/>
          <w:sz w:val="32"/>
          <w:szCs w:val="32"/>
          <w:lang w:eastAsia="zh-Hans" w:bidi="ar"/>
        </w:rPr>
        <w:t>应</w:t>
      </w:r>
      <w:r>
        <w:rPr>
          <w:rFonts w:ascii="仿宋_GB2312" w:eastAsia="仿宋_GB2312" w:hAnsi="仿宋_GB2312" w:cs="仿宋_GB2312" w:hint="eastAsia"/>
          <w:color w:val="000000" w:themeColor="text1"/>
          <w:kern w:val="0"/>
          <w:sz w:val="32"/>
          <w:szCs w:val="32"/>
          <w:lang w:bidi="ar"/>
        </w:rPr>
        <w:t>设专用机房与服务器，审方系统集成</w:t>
      </w:r>
      <w:r>
        <w:rPr>
          <w:rFonts w:ascii="仿宋_GB2312" w:eastAsia="仿宋_GB2312" w:hAnsi="仿宋_GB2312" w:cs="仿宋_GB2312" w:hint="eastAsia"/>
          <w:color w:val="000000" w:themeColor="text1"/>
          <w:kern w:val="0"/>
          <w:sz w:val="32"/>
          <w:szCs w:val="32"/>
          <w:lang w:eastAsia="zh-Hans" w:bidi="ar"/>
        </w:rPr>
        <w:t>人脸</w:t>
      </w:r>
      <w:r>
        <w:rPr>
          <w:rFonts w:ascii="仿宋_GB2312" w:eastAsia="仿宋_GB2312" w:hAnsi="仿宋_GB2312" w:cs="仿宋_GB2312" w:hint="eastAsia"/>
          <w:color w:val="000000" w:themeColor="text1"/>
          <w:kern w:val="0"/>
          <w:sz w:val="32"/>
          <w:szCs w:val="32"/>
          <w:lang w:bidi="ar"/>
        </w:rPr>
        <w:t>核验、</w:t>
      </w:r>
      <w:r>
        <w:rPr>
          <w:rFonts w:ascii="仿宋_GB2312" w:eastAsia="仿宋_GB2312" w:hAnsi="仿宋_GB2312" w:cs="仿宋_GB2312" w:hint="eastAsia"/>
          <w:color w:val="000000" w:themeColor="text1"/>
          <w:kern w:val="0"/>
          <w:sz w:val="32"/>
          <w:szCs w:val="32"/>
          <w:lang w:eastAsia="zh-Hans" w:bidi="ar"/>
        </w:rPr>
        <w:t>CA</w:t>
      </w:r>
      <w:r>
        <w:rPr>
          <w:rFonts w:ascii="仿宋_GB2312" w:eastAsia="仿宋_GB2312" w:hAnsi="仿宋_GB2312" w:cs="仿宋_GB2312" w:hint="eastAsia"/>
          <w:color w:val="000000" w:themeColor="text1"/>
          <w:kern w:val="0"/>
          <w:sz w:val="32"/>
          <w:szCs w:val="32"/>
          <w:lang w:eastAsia="zh-Hans" w:bidi="ar"/>
        </w:rPr>
        <w:t>数字认证、</w:t>
      </w:r>
      <w:r>
        <w:rPr>
          <w:rFonts w:ascii="仿宋_GB2312" w:eastAsia="仿宋_GB2312" w:hAnsi="仿宋_GB2312" w:cs="仿宋_GB2312" w:hint="eastAsia"/>
          <w:color w:val="000000" w:themeColor="text1"/>
          <w:kern w:val="0"/>
          <w:sz w:val="32"/>
          <w:szCs w:val="32"/>
          <w:lang w:bidi="ar"/>
        </w:rPr>
        <w:t>视频通话、处方归档等功能；门店配备处方扫描、视频、</w:t>
      </w:r>
      <w:proofErr w:type="gramStart"/>
      <w:r>
        <w:rPr>
          <w:rFonts w:ascii="仿宋_GB2312" w:eastAsia="仿宋_GB2312" w:hAnsi="仿宋_GB2312" w:cs="仿宋_GB2312" w:hint="eastAsia"/>
          <w:color w:val="000000" w:themeColor="text1"/>
          <w:kern w:val="0"/>
          <w:sz w:val="32"/>
          <w:szCs w:val="32"/>
          <w:lang w:eastAsia="zh-Hans" w:bidi="ar"/>
        </w:rPr>
        <w:t>扫脸</w:t>
      </w:r>
      <w:r>
        <w:rPr>
          <w:rFonts w:ascii="仿宋_GB2312" w:eastAsia="仿宋_GB2312" w:hAnsi="仿宋_GB2312" w:cs="仿宋_GB2312" w:hint="eastAsia"/>
          <w:color w:val="000000" w:themeColor="text1"/>
          <w:kern w:val="0"/>
          <w:sz w:val="32"/>
          <w:szCs w:val="32"/>
          <w:lang w:bidi="ar"/>
        </w:rPr>
        <w:t>识别</w:t>
      </w:r>
      <w:proofErr w:type="gramEnd"/>
      <w:r>
        <w:rPr>
          <w:rFonts w:ascii="仿宋_GB2312" w:eastAsia="仿宋_GB2312" w:hAnsi="仿宋_GB2312" w:cs="仿宋_GB2312" w:hint="eastAsia"/>
          <w:color w:val="000000" w:themeColor="text1"/>
          <w:kern w:val="0"/>
          <w:sz w:val="32"/>
          <w:szCs w:val="32"/>
          <w:lang w:bidi="ar"/>
        </w:rPr>
        <w:t>设备，音视频资料加密留存，连锁总部系统与全门店实时联网，</w:t>
      </w:r>
      <w:r>
        <w:rPr>
          <w:rFonts w:ascii="仿宋_GB2312" w:eastAsia="仿宋_GB2312" w:hAnsi="仿宋_GB2312" w:cs="仿宋_GB2312" w:hint="eastAsia"/>
          <w:color w:val="000000" w:themeColor="text1"/>
          <w:sz w:val="32"/>
          <w:szCs w:val="32"/>
        </w:rPr>
        <w:t>所有审方资料按规定长期留存、不可篡改。</w:t>
      </w:r>
      <w:r>
        <w:rPr>
          <w:rFonts w:ascii="仿宋_GB2312" w:eastAsia="仿宋_GB2312" w:hAnsi="仿宋_GB2312" w:cs="仿宋_GB2312" w:hint="eastAsia"/>
          <w:color w:val="000000" w:themeColor="text1"/>
          <w:spacing w:val="7"/>
          <w:sz w:val="32"/>
          <w:szCs w:val="32"/>
        </w:rPr>
        <w:t>严禁第三方互联网医院药师代替本企业执业药师审核处方。</w:t>
      </w:r>
    </w:p>
    <w:p w14:paraId="6B5F1A60" w14:textId="77777777" w:rsidR="002B5C78" w:rsidRDefault="000E1A00">
      <w:pPr>
        <w:spacing w:line="360" w:lineRule="auto"/>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八</w:t>
      </w:r>
      <w:r>
        <w:rPr>
          <w:rFonts w:ascii="仿宋_GB2312" w:eastAsia="仿宋_GB2312" w:hAnsi="仿宋_GB2312" w:cs="仿宋_GB2312" w:hint="eastAsia"/>
          <w:color w:val="000000" w:themeColor="text1"/>
          <w:sz w:val="32"/>
          <w:szCs w:val="32"/>
        </w:rPr>
        <w:t>）药品零售连锁企业开展执业药师远程药学服务的，设区市级医疗保障部门应指导做好远程审方执业药师</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保编码贯标，做好其与服务门店的匹配和编码维护。通过信息化手段实现执业药师资源集约化使用，实现总部执业药师共享，提高药品零售连锁企业的药学服务质量。</w:t>
      </w:r>
    </w:p>
    <w:p w14:paraId="3A83CBF0" w14:textId="77777777" w:rsidR="002B5C78" w:rsidRDefault="000E1A00">
      <w:pPr>
        <w:widowControl/>
        <w:shd w:val="clear" w:color="auto" w:fill="FFFFFF"/>
        <w:spacing w:line="360" w:lineRule="auto"/>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w:t>
      </w:r>
      <w:r>
        <w:rPr>
          <w:rFonts w:ascii="仿宋_GB2312" w:eastAsia="仿宋_GB2312" w:hAnsi="仿宋_GB2312" w:cs="仿宋_GB2312" w:hint="eastAsia"/>
          <w:color w:val="000000" w:themeColor="text1"/>
          <w:sz w:val="32"/>
          <w:szCs w:val="32"/>
        </w:rPr>
        <w:t>九</w:t>
      </w:r>
      <w:r>
        <w:rPr>
          <w:rFonts w:ascii="仿宋_GB2312" w:eastAsia="仿宋_GB2312" w:hAnsi="仿宋_GB2312" w:cs="仿宋_GB2312" w:hint="eastAsia"/>
          <w:color w:val="000000" w:themeColor="text1"/>
          <w:sz w:val="32"/>
          <w:szCs w:val="32"/>
        </w:rPr>
        <w:t>）完善外配处方流转机制，加强流程追溯，优化结算规则，提升电子处方流转平台使用效能。鼓励符合监管要求的实体医疗机构、互联网医院与药品零售企业依托电子处方流转平台进行处方流转。鼓励建设非</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保药品自费处方电子流转平台，规范和完善相关药学服务。</w:t>
      </w:r>
      <w:r>
        <w:rPr>
          <w:rFonts w:ascii="仿宋_GB2312" w:eastAsia="仿宋_GB2312" w:hAnsi="仿宋_GB2312" w:cs="仿宋_GB2312" w:hint="eastAsia"/>
          <w:color w:val="000000" w:themeColor="text1"/>
          <w:sz w:val="32"/>
          <w:szCs w:val="32"/>
        </w:rPr>
        <w:t>鼓励</w:t>
      </w:r>
      <w:r>
        <w:rPr>
          <w:rFonts w:ascii="仿宋_GB2312" w:eastAsia="仿宋_GB2312" w:hAnsi="仿宋_GB2312" w:cs="仿宋_GB2312" w:hint="eastAsia"/>
          <w:color w:val="000000" w:themeColor="text1"/>
          <w:kern w:val="0"/>
          <w:sz w:val="32"/>
          <w:szCs w:val="32"/>
          <w:shd w:val="clear" w:color="auto" w:fill="FFFFFF"/>
          <w:lang w:bidi="ar"/>
        </w:rPr>
        <w:t>药品零售企业</w:t>
      </w:r>
      <w:r>
        <w:rPr>
          <w:rFonts w:ascii="仿宋_GB2312" w:eastAsia="仿宋_GB2312" w:hAnsi="仿宋_GB2312" w:cs="仿宋_GB2312" w:hint="eastAsia"/>
          <w:color w:val="000000" w:themeColor="text1"/>
          <w:spacing w:val="8"/>
          <w:kern w:val="0"/>
          <w:sz w:val="32"/>
          <w:szCs w:val="32"/>
          <w:shd w:val="clear" w:color="auto" w:fill="FFFFFF"/>
          <w:lang w:bidi="ar"/>
        </w:rPr>
        <w:t>建立慢性病患者档案，</w:t>
      </w:r>
      <w:r>
        <w:rPr>
          <w:rFonts w:ascii="仿宋_GB2312" w:eastAsia="仿宋_GB2312" w:hAnsi="仿宋_GB2312" w:cs="仿宋_GB2312" w:hint="eastAsia"/>
          <w:color w:val="000000" w:themeColor="text1"/>
          <w:kern w:val="0"/>
          <w:sz w:val="32"/>
          <w:szCs w:val="32"/>
          <w:shd w:val="clear" w:color="auto" w:fill="FFFFFF"/>
          <w:lang w:bidi="ar"/>
        </w:rPr>
        <w:t>执业药师</w:t>
      </w:r>
      <w:proofErr w:type="gramStart"/>
      <w:r>
        <w:rPr>
          <w:rFonts w:ascii="仿宋_GB2312" w:eastAsia="仿宋_GB2312" w:hAnsi="仿宋_GB2312" w:cs="仿宋_GB2312" w:hint="eastAsia"/>
          <w:color w:val="000000" w:themeColor="text1"/>
          <w:kern w:val="0"/>
          <w:sz w:val="32"/>
          <w:szCs w:val="32"/>
          <w:shd w:val="clear" w:color="auto" w:fill="FFFFFF"/>
          <w:lang w:bidi="ar"/>
        </w:rPr>
        <w:t>凭患者</w:t>
      </w:r>
      <w:proofErr w:type="gramEnd"/>
      <w:r>
        <w:rPr>
          <w:rFonts w:ascii="仿宋_GB2312" w:eastAsia="仿宋_GB2312" w:hAnsi="仿宋_GB2312" w:cs="仿宋_GB2312" w:hint="eastAsia"/>
          <w:color w:val="000000" w:themeColor="text1"/>
          <w:kern w:val="0"/>
          <w:sz w:val="32"/>
          <w:szCs w:val="32"/>
          <w:shd w:val="clear" w:color="auto" w:fill="FFFFFF"/>
          <w:lang w:bidi="ar"/>
        </w:rPr>
        <w:t>处方、诊断证明允许建档患者在一定期限内购买治疗慢性病药品可不凭处方，根据档案记录直接购买。</w:t>
      </w:r>
    </w:p>
    <w:p w14:paraId="6D3381CA" w14:textId="77777777" w:rsidR="002B5C78" w:rsidRDefault="000E1A00">
      <w:pPr>
        <w:pStyle w:val="a5"/>
        <w:widowControl/>
        <w:spacing w:beforeAutospacing="0" w:afterAutospacing="0" w:line="360" w:lineRule="auto"/>
        <w:ind w:firstLineChars="200" w:firstLine="640"/>
        <w:jc w:val="both"/>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（十）</w:t>
      </w:r>
      <w:r>
        <w:rPr>
          <w:rFonts w:ascii="仿宋_GB2312" w:eastAsia="仿宋_GB2312" w:hAnsi="仿宋_GB2312" w:cs="仿宋_GB2312" w:hint="eastAsia"/>
          <w:color w:val="000000" w:themeColor="text1"/>
          <w:sz w:val="32"/>
          <w:szCs w:val="32"/>
        </w:rPr>
        <w:t>优化定点零售药店门诊统筹服务。参保人员凭定点医药机构处方在定点零售药店购买</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保目录内药品发生的费用可由医保基金按规定支付。定点零售药店门诊统筹起付标准、支付比例、最高支付限额等，可执行本统筹地区基层医疗机构相同的</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保待遇政策。支持职工</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保个人账户用于支付参保人及其已参保的近亲属在定点零售药店购药发生的个人自行负担的医药费用。优化</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保定点零售药店资源配置规划，结合一刻钟便民生活圈建设，推动医保定点药店合理布局。</w:t>
      </w:r>
    </w:p>
    <w:p w14:paraId="6C0706C9" w14:textId="77777777" w:rsidR="002B5C78" w:rsidRDefault="000E1A00">
      <w:pPr>
        <w:pStyle w:val="a5"/>
        <w:widowControl/>
        <w:spacing w:beforeAutospacing="0" w:afterAutospacing="0" w:line="360" w:lineRule="auto"/>
        <w:ind w:firstLineChars="200" w:firstLine="640"/>
        <w:jc w:val="both"/>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（十一）丰富药品零售企业健康服务功能，积极创新多元化健康服务，</w:t>
      </w:r>
      <w:r>
        <w:rPr>
          <w:rFonts w:ascii="仿宋_GB2312" w:eastAsia="仿宋_GB2312" w:hAnsi="仿宋_GB2312" w:cs="仿宋_GB2312" w:hint="eastAsia"/>
          <w:color w:val="000000" w:themeColor="text1"/>
          <w:sz w:val="32"/>
          <w:szCs w:val="32"/>
          <w:shd w:val="clear" w:color="auto" w:fill="FFFFFF"/>
        </w:rPr>
        <w:t>鼓励</w:t>
      </w:r>
      <w:r>
        <w:rPr>
          <w:rFonts w:ascii="仿宋_GB2312" w:eastAsia="仿宋_GB2312" w:hAnsi="仿宋_GB2312" w:cs="仿宋_GB2312" w:hint="eastAsia"/>
          <w:color w:val="000000" w:themeColor="text1"/>
          <w:sz w:val="32"/>
          <w:szCs w:val="32"/>
          <w:shd w:val="clear" w:color="auto" w:fill="FFFFFF"/>
        </w:rPr>
        <w:t>开展</w:t>
      </w:r>
      <w:r>
        <w:rPr>
          <w:rFonts w:ascii="仿宋_GB2312" w:eastAsia="仿宋_GB2312" w:hAnsi="仿宋_GB2312" w:cs="仿宋_GB2312" w:hint="eastAsia"/>
          <w:color w:val="000000" w:themeColor="text1"/>
          <w:sz w:val="32"/>
          <w:szCs w:val="32"/>
          <w:shd w:val="clear" w:color="auto" w:fill="FFFFFF"/>
        </w:rPr>
        <w:t>数字化、智能化健康服务升级。推动依托实体医疗机构的互联网医院打造零售药店健康咨询中心，配备远程健康咨询相关设施设备，提供便民远程健康服务</w:t>
      </w:r>
      <w:r>
        <w:rPr>
          <w:rFonts w:ascii="仿宋_GB2312" w:eastAsia="仿宋_GB2312" w:hAnsi="仿宋_GB2312" w:cs="仿宋_GB2312" w:hint="eastAsia"/>
          <w:color w:val="000000" w:themeColor="text1"/>
          <w:sz w:val="32"/>
          <w:szCs w:val="32"/>
          <w:shd w:val="clear" w:color="auto" w:fill="FFFFFF"/>
        </w:rPr>
        <w:t>、慢病管理，</w:t>
      </w:r>
      <w:r>
        <w:rPr>
          <w:rFonts w:ascii="仿宋_GB2312" w:eastAsia="仿宋_GB2312" w:hAnsi="仿宋_GB2312" w:cs="仿宋_GB2312" w:hint="eastAsia"/>
          <w:color w:val="000000" w:themeColor="text1"/>
          <w:sz w:val="32"/>
          <w:szCs w:val="32"/>
          <w:shd w:val="clear" w:color="auto" w:fill="FFFFFF"/>
        </w:rPr>
        <w:t>承接复诊外配处方、配药购药及后续健康服务。</w:t>
      </w:r>
      <w:r>
        <w:rPr>
          <w:rFonts w:ascii="仿宋_GB2312" w:eastAsia="仿宋_GB2312" w:hAnsi="仿宋_GB2312" w:cs="仿宋_GB2312" w:hint="eastAsia"/>
          <w:color w:val="000000" w:themeColor="text1"/>
          <w:sz w:val="32"/>
          <w:szCs w:val="32"/>
        </w:rPr>
        <w:t>优化专业药事服务，</w:t>
      </w:r>
      <w:r>
        <w:rPr>
          <w:rFonts w:ascii="仿宋_GB2312" w:eastAsia="仿宋_GB2312" w:hAnsi="仿宋_GB2312" w:cs="仿宋_GB2312" w:hint="eastAsia"/>
          <w:color w:val="000000" w:themeColor="text1"/>
          <w:sz w:val="32"/>
          <w:szCs w:val="32"/>
        </w:rPr>
        <w:lastRenderedPageBreak/>
        <w:t>鼓励零售药店利用数字智慧服务和</w:t>
      </w:r>
      <w:r>
        <w:rPr>
          <w:rFonts w:ascii="仿宋_GB2312" w:eastAsia="仿宋_GB2312" w:hAnsi="仿宋_GB2312" w:cs="仿宋_GB2312" w:hint="eastAsia"/>
          <w:color w:val="000000" w:themeColor="text1"/>
          <w:sz w:val="32"/>
          <w:szCs w:val="32"/>
        </w:rPr>
        <w:t>AI</w:t>
      </w:r>
      <w:r>
        <w:rPr>
          <w:rFonts w:ascii="仿宋_GB2312" w:eastAsia="仿宋_GB2312" w:hAnsi="仿宋_GB2312" w:cs="仿宋_GB2312" w:hint="eastAsia"/>
          <w:color w:val="000000" w:themeColor="text1"/>
          <w:sz w:val="32"/>
          <w:szCs w:val="32"/>
        </w:rPr>
        <w:t>等辅助工具，实现全天候用药咨询等健康服务，鼓励探索开展无人机配送业务。</w:t>
      </w:r>
      <w:proofErr w:type="gramStart"/>
      <w:r>
        <w:rPr>
          <w:rFonts w:ascii="仿宋_GB2312" w:eastAsia="仿宋_GB2312" w:hAnsi="仿宋_GB2312" w:cs="仿宋_GB2312" w:hint="eastAsia"/>
          <w:color w:val="000000" w:themeColor="text1"/>
          <w:sz w:val="32"/>
          <w:szCs w:val="32"/>
        </w:rPr>
        <w:t>聚焦全龄人群</w:t>
      </w:r>
      <w:proofErr w:type="gramEnd"/>
      <w:r>
        <w:rPr>
          <w:rFonts w:ascii="仿宋_GB2312" w:eastAsia="仿宋_GB2312" w:hAnsi="仿宋_GB2312" w:cs="仿宋_GB2312" w:hint="eastAsia"/>
          <w:color w:val="000000" w:themeColor="text1"/>
          <w:sz w:val="32"/>
          <w:szCs w:val="32"/>
        </w:rPr>
        <w:t>需求，推出适老、母婴、助残、户外劳动者“暖心驿站”等服务。</w:t>
      </w:r>
    </w:p>
    <w:p w14:paraId="649C3624" w14:textId="77777777" w:rsidR="002B5C78" w:rsidRDefault="000E1A00">
      <w:pPr>
        <w:pStyle w:val="a5"/>
        <w:widowControl/>
        <w:spacing w:beforeAutospacing="0" w:afterAutospacing="0" w:line="360" w:lineRule="auto"/>
        <w:ind w:firstLineChars="200" w:firstLine="640"/>
        <w:jc w:val="both"/>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三、促进药品流通转型升级</w:t>
      </w:r>
    </w:p>
    <w:p w14:paraId="57D5FD49" w14:textId="77777777" w:rsidR="002B5C78" w:rsidRDefault="000E1A00">
      <w:pPr>
        <w:spacing w:line="360" w:lineRule="auto"/>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（十二）</w:t>
      </w:r>
      <w:r>
        <w:rPr>
          <w:rFonts w:ascii="仿宋_GB2312" w:eastAsia="仿宋_GB2312" w:hAnsi="仿宋_GB2312" w:cs="仿宋_GB2312" w:hint="eastAsia"/>
          <w:color w:val="000000" w:themeColor="text1"/>
          <w:sz w:val="32"/>
          <w:szCs w:val="32"/>
        </w:rPr>
        <w:t>鼓励药品批发企业依法通过兼并重组整合供应链与零售终端，推动批零一体化发展。</w:t>
      </w:r>
      <w:r>
        <w:rPr>
          <w:rFonts w:ascii="仿宋_GB2312" w:eastAsia="仿宋_GB2312" w:hAnsi="仿宋_GB2312" w:cs="仿宋_GB2312" w:hint="eastAsia"/>
          <w:color w:val="000000" w:themeColor="text1"/>
          <w:sz w:val="32"/>
          <w:szCs w:val="32"/>
        </w:rPr>
        <w:t>同一法人主体的药品批发和零售连锁企业仓储物流资源共用的应当依据《药品经营质量管理规范》，分别建立药品批发和零售质量管理体系，配备符合药品经营全过程管理和质量控制要求的计算机系统，设置的仓库</w:t>
      </w:r>
      <w:r>
        <w:rPr>
          <w:rFonts w:ascii="仿宋_GB2312" w:eastAsia="仿宋_GB2312" w:hAnsi="仿宋_GB2312" w:cs="仿宋_GB2312" w:hint="eastAsia"/>
          <w:color w:val="000000" w:themeColor="text1"/>
          <w:sz w:val="32"/>
          <w:szCs w:val="32"/>
        </w:rPr>
        <w:t>应符合《吉林省药品监督管理局关于进一步做好药品经营监督管理有关工作的通告》（</w:t>
      </w:r>
      <w:r>
        <w:rPr>
          <w:rFonts w:ascii="仿宋_GB2312" w:eastAsia="仿宋_GB2312" w:hAnsi="仿宋_GB2312" w:cs="仿宋_GB2312" w:hint="eastAsia"/>
          <w:color w:val="000000" w:themeColor="text1"/>
          <w:sz w:val="32"/>
          <w:szCs w:val="32"/>
        </w:rPr>
        <w:t>2026</w:t>
      </w:r>
      <w:r>
        <w:rPr>
          <w:rFonts w:ascii="仿宋_GB2312" w:eastAsia="仿宋_GB2312" w:hAnsi="仿宋_GB2312" w:cs="仿宋_GB2312" w:hint="eastAsia"/>
          <w:color w:val="000000" w:themeColor="text1"/>
          <w:sz w:val="32"/>
          <w:szCs w:val="32"/>
        </w:rPr>
        <w:t>年第</w:t>
      </w:r>
      <w:r>
        <w:rPr>
          <w:rFonts w:ascii="仿宋_GB2312" w:eastAsia="仿宋_GB2312" w:hAnsi="仿宋_GB2312" w:cs="仿宋_GB2312" w:hint="eastAsia"/>
          <w:color w:val="000000" w:themeColor="text1"/>
          <w:sz w:val="32"/>
          <w:szCs w:val="32"/>
        </w:rPr>
        <w:t>3</w:t>
      </w:r>
      <w:r>
        <w:rPr>
          <w:rFonts w:ascii="仿宋_GB2312" w:eastAsia="仿宋_GB2312" w:hAnsi="仿宋_GB2312" w:cs="仿宋_GB2312" w:hint="eastAsia"/>
          <w:color w:val="000000" w:themeColor="text1"/>
          <w:sz w:val="32"/>
          <w:szCs w:val="32"/>
        </w:rPr>
        <w:t>号）中规定的药品</w:t>
      </w:r>
      <w:r>
        <w:rPr>
          <w:rFonts w:ascii="仿宋_GB2312" w:eastAsia="仿宋_GB2312" w:hAnsi="仿宋_GB2312" w:cs="仿宋_GB2312" w:hint="eastAsia"/>
          <w:color w:val="000000" w:themeColor="text1"/>
          <w:sz w:val="32"/>
          <w:szCs w:val="32"/>
        </w:rPr>
        <w:t>批发</w:t>
      </w:r>
      <w:r>
        <w:rPr>
          <w:rFonts w:ascii="仿宋_GB2312" w:eastAsia="仿宋_GB2312" w:hAnsi="仿宋_GB2312" w:cs="仿宋_GB2312" w:hint="eastAsia"/>
          <w:color w:val="000000" w:themeColor="text1"/>
          <w:sz w:val="32"/>
          <w:szCs w:val="32"/>
        </w:rPr>
        <w:t>企业</w:t>
      </w:r>
      <w:r>
        <w:rPr>
          <w:rFonts w:ascii="仿宋_GB2312" w:eastAsia="仿宋_GB2312" w:hAnsi="仿宋_GB2312" w:cs="仿宋_GB2312" w:hint="eastAsia"/>
          <w:color w:val="000000" w:themeColor="text1"/>
          <w:sz w:val="32"/>
          <w:szCs w:val="32"/>
        </w:rPr>
        <w:t>和零售连锁</w:t>
      </w:r>
      <w:r>
        <w:rPr>
          <w:rFonts w:ascii="仿宋_GB2312" w:eastAsia="仿宋_GB2312" w:hAnsi="仿宋_GB2312" w:cs="仿宋_GB2312" w:hint="eastAsia"/>
          <w:color w:val="000000" w:themeColor="text1"/>
          <w:sz w:val="32"/>
          <w:szCs w:val="32"/>
        </w:rPr>
        <w:t>企业仓库面积要求</w:t>
      </w:r>
      <w:r>
        <w:rPr>
          <w:rFonts w:ascii="仿宋_GB2312" w:eastAsia="仿宋_GB2312" w:hAnsi="仿宋_GB2312" w:cs="仿宋_GB2312" w:hint="eastAsia"/>
          <w:color w:val="000000" w:themeColor="text1"/>
          <w:sz w:val="32"/>
          <w:szCs w:val="32"/>
        </w:rPr>
        <w:t>，并采取有效措施防止药品混淆与差错，有效降低运营成本。</w:t>
      </w:r>
      <w:r>
        <w:rPr>
          <w:rFonts w:ascii="仿宋_GB2312" w:eastAsia="仿宋_GB2312" w:hAnsi="仿宋_GB2312" w:cs="仿宋_GB2312" w:hint="eastAsia"/>
          <w:color w:val="000000" w:themeColor="text1"/>
          <w:sz w:val="32"/>
          <w:szCs w:val="32"/>
        </w:rPr>
        <w:t xml:space="preserve">  </w:t>
      </w:r>
    </w:p>
    <w:p w14:paraId="4762BD2D" w14:textId="77777777" w:rsidR="002B5C78" w:rsidRDefault="000E1A00">
      <w:pPr>
        <w:pStyle w:val="a5"/>
        <w:widowControl/>
        <w:shd w:val="clear" w:color="auto" w:fill="FFFFFF"/>
        <w:spacing w:beforeAutospacing="0" w:afterAutospacing="0" w:line="360" w:lineRule="auto"/>
        <w:ind w:firstLine="630"/>
        <w:jc w:val="both"/>
        <w:textAlignment w:val="baseline"/>
        <w:rPr>
          <w:rFonts w:ascii="仿宋_GB2312" w:eastAsia="仿宋_GB2312" w:hAnsi="仿宋_GB2312" w:cs="仿宋_GB2312"/>
          <w:color w:val="000000" w:themeColor="text1"/>
          <w:sz w:val="32"/>
          <w:szCs w:val="32"/>
          <w:lang w:bidi="ar"/>
        </w:rPr>
      </w:pPr>
      <w:r>
        <w:rPr>
          <w:rFonts w:ascii="仿宋_GB2312" w:eastAsia="仿宋_GB2312" w:hAnsi="仿宋_GB2312" w:cs="仿宋_GB2312" w:hint="eastAsia"/>
          <w:color w:val="000000" w:themeColor="text1"/>
          <w:sz w:val="32"/>
          <w:szCs w:val="32"/>
          <w:lang w:bidi="ar"/>
        </w:rPr>
        <w:t>（十三）鼓励和支持药品批发企业有效整合仓储和运输资源，规范药品批发</w:t>
      </w:r>
      <w:proofErr w:type="gramStart"/>
      <w:r>
        <w:rPr>
          <w:rFonts w:ascii="仿宋_GB2312" w:eastAsia="仿宋_GB2312" w:hAnsi="仿宋_GB2312" w:cs="仿宋_GB2312" w:hint="eastAsia"/>
          <w:color w:val="000000" w:themeColor="text1"/>
          <w:sz w:val="32"/>
          <w:szCs w:val="32"/>
          <w:lang w:bidi="ar"/>
        </w:rPr>
        <w:t>企业多仓协同</w:t>
      </w:r>
      <w:proofErr w:type="gramEnd"/>
      <w:r>
        <w:rPr>
          <w:rFonts w:ascii="仿宋_GB2312" w:eastAsia="仿宋_GB2312" w:hAnsi="仿宋_GB2312" w:cs="仿宋_GB2312" w:hint="eastAsia"/>
          <w:color w:val="000000" w:themeColor="text1"/>
          <w:sz w:val="32"/>
          <w:szCs w:val="32"/>
          <w:lang w:bidi="ar"/>
        </w:rPr>
        <w:t>管理。</w:t>
      </w:r>
      <w:proofErr w:type="gramStart"/>
      <w:r>
        <w:rPr>
          <w:rFonts w:ascii="仿宋_GB2312" w:eastAsia="仿宋_GB2312" w:hAnsi="仿宋_GB2312" w:cs="仿宋_GB2312" w:hint="eastAsia"/>
          <w:color w:val="000000" w:themeColor="text1"/>
          <w:sz w:val="32"/>
          <w:szCs w:val="32"/>
          <w:lang w:bidi="ar"/>
        </w:rPr>
        <w:t>通过多仓协同</w:t>
      </w:r>
      <w:proofErr w:type="gramEnd"/>
      <w:r>
        <w:rPr>
          <w:rFonts w:ascii="仿宋_GB2312" w:eastAsia="仿宋_GB2312" w:hAnsi="仿宋_GB2312" w:cs="仿宋_GB2312" w:hint="eastAsia"/>
          <w:color w:val="000000" w:themeColor="text1"/>
          <w:sz w:val="32"/>
          <w:szCs w:val="32"/>
          <w:lang w:bidi="ar"/>
        </w:rPr>
        <w:t>储存和运输的药品，应在主体方和协同方所持《药品经营许可证》核准的经营范围内，协同期限应在《药品经营许可证》有效期内。麻醉药品、精神药品、医疗用毒性药品、放射性药品、药品类易制毒化学品、疫苗等实行特殊管理的药品，不得</w:t>
      </w:r>
      <w:proofErr w:type="gramStart"/>
      <w:r>
        <w:rPr>
          <w:rFonts w:ascii="仿宋_GB2312" w:eastAsia="仿宋_GB2312" w:hAnsi="仿宋_GB2312" w:cs="仿宋_GB2312" w:hint="eastAsia"/>
          <w:color w:val="000000" w:themeColor="text1"/>
          <w:sz w:val="32"/>
          <w:szCs w:val="32"/>
          <w:lang w:bidi="ar"/>
        </w:rPr>
        <w:t>开展多仓协同</w:t>
      </w:r>
      <w:proofErr w:type="gramEnd"/>
      <w:r>
        <w:rPr>
          <w:rFonts w:ascii="仿宋_GB2312" w:eastAsia="仿宋_GB2312" w:hAnsi="仿宋_GB2312" w:cs="仿宋_GB2312" w:hint="eastAsia"/>
          <w:color w:val="000000" w:themeColor="text1"/>
          <w:sz w:val="32"/>
          <w:szCs w:val="32"/>
          <w:lang w:bidi="ar"/>
        </w:rPr>
        <w:t>储存、配送业务。</w:t>
      </w:r>
      <w:r>
        <w:rPr>
          <w:rFonts w:ascii="仿宋_GB2312" w:eastAsia="仿宋_GB2312" w:hAnsi="仿宋_GB2312" w:cs="仿宋_GB2312" w:hint="eastAsia"/>
          <w:color w:val="000000" w:themeColor="text1"/>
          <w:sz w:val="32"/>
          <w:szCs w:val="32"/>
          <w:lang w:bidi="ar"/>
        </w:rPr>
        <w:t xml:space="preserve">  </w:t>
      </w:r>
    </w:p>
    <w:p w14:paraId="32003127" w14:textId="77777777" w:rsidR="002B5C78" w:rsidRDefault="000E1A00">
      <w:pPr>
        <w:pStyle w:val="a5"/>
        <w:widowControl/>
        <w:shd w:val="clear" w:color="auto" w:fill="FFFFFF"/>
        <w:spacing w:beforeAutospacing="0" w:afterAutospacing="0" w:line="360" w:lineRule="auto"/>
        <w:ind w:firstLine="630"/>
        <w:jc w:val="both"/>
        <w:textAlignment w:val="baseline"/>
        <w:rPr>
          <w:rFonts w:ascii="仿宋_GB2312" w:eastAsia="仿宋_GB2312" w:hAnsi="仿宋_GB2312" w:cs="仿宋_GB2312"/>
          <w:color w:val="000000" w:themeColor="text1"/>
          <w:sz w:val="32"/>
          <w:szCs w:val="32"/>
          <w:lang w:bidi="ar"/>
        </w:rPr>
      </w:pPr>
      <w:r>
        <w:rPr>
          <w:rFonts w:ascii="仿宋_GB2312" w:eastAsia="仿宋_GB2312" w:hAnsi="仿宋_GB2312" w:cs="仿宋_GB2312" w:hint="eastAsia"/>
          <w:color w:val="000000" w:themeColor="text1"/>
          <w:sz w:val="32"/>
          <w:szCs w:val="32"/>
          <w:lang w:bidi="ar"/>
        </w:rPr>
        <w:lastRenderedPageBreak/>
        <w:t>（十四）</w:t>
      </w:r>
      <w:proofErr w:type="gramStart"/>
      <w:r>
        <w:rPr>
          <w:rFonts w:ascii="仿宋_GB2312" w:eastAsia="仿宋_GB2312" w:hAnsi="仿宋_GB2312" w:cs="仿宋_GB2312" w:hint="eastAsia"/>
          <w:color w:val="000000" w:themeColor="text1"/>
          <w:sz w:val="32"/>
          <w:szCs w:val="32"/>
          <w:lang w:bidi="ar"/>
        </w:rPr>
        <w:t>开展多仓协同</w:t>
      </w:r>
      <w:proofErr w:type="gramEnd"/>
      <w:r>
        <w:rPr>
          <w:rFonts w:ascii="仿宋_GB2312" w:eastAsia="仿宋_GB2312" w:hAnsi="仿宋_GB2312" w:cs="仿宋_GB2312" w:hint="eastAsia"/>
          <w:color w:val="000000" w:themeColor="text1"/>
          <w:sz w:val="32"/>
          <w:szCs w:val="32"/>
          <w:lang w:bidi="ar"/>
        </w:rPr>
        <w:t>业务主体方和协同方</w:t>
      </w:r>
      <w:proofErr w:type="gramStart"/>
      <w:r>
        <w:rPr>
          <w:rFonts w:ascii="仿宋_GB2312" w:eastAsia="仿宋_GB2312" w:hAnsi="仿宋_GB2312" w:cs="仿宋_GB2312" w:hint="eastAsia"/>
          <w:color w:val="000000" w:themeColor="text1"/>
          <w:sz w:val="32"/>
          <w:szCs w:val="32"/>
          <w:lang w:bidi="ar"/>
        </w:rPr>
        <w:t>满足多仓协同</w:t>
      </w:r>
      <w:proofErr w:type="gramEnd"/>
      <w:r>
        <w:rPr>
          <w:rFonts w:ascii="仿宋_GB2312" w:eastAsia="仿宋_GB2312" w:hAnsi="仿宋_GB2312" w:cs="仿宋_GB2312" w:hint="eastAsia"/>
          <w:color w:val="000000" w:themeColor="text1"/>
          <w:sz w:val="32"/>
          <w:szCs w:val="32"/>
          <w:lang w:bidi="ar"/>
        </w:rPr>
        <w:t>的要求，经审查同意</w:t>
      </w:r>
      <w:proofErr w:type="gramStart"/>
      <w:r>
        <w:rPr>
          <w:rFonts w:ascii="仿宋_GB2312" w:eastAsia="仿宋_GB2312" w:hAnsi="仿宋_GB2312" w:cs="仿宋_GB2312" w:hint="eastAsia"/>
          <w:color w:val="000000" w:themeColor="text1"/>
          <w:sz w:val="32"/>
          <w:szCs w:val="32"/>
          <w:lang w:bidi="ar"/>
        </w:rPr>
        <w:t>开展多仓协同</w:t>
      </w:r>
      <w:proofErr w:type="gramEnd"/>
      <w:r>
        <w:rPr>
          <w:rFonts w:ascii="仿宋_GB2312" w:eastAsia="仿宋_GB2312" w:hAnsi="仿宋_GB2312" w:cs="仿宋_GB2312" w:hint="eastAsia"/>
          <w:color w:val="000000" w:themeColor="text1"/>
          <w:sz w:val="32"/>
          <w:szCs w:val="32"/>
          <w:lang w:bidi="ar"/>
        </w:rPr>
        <w:t>的，按变更仓库地址办理。鼓励仓储管理“多仓协同”药品时，可简化出库复核和入库验收管理流程的物流操作，由计算机信息管理系统生成购销记录完成物权变更，按要求索取和保存购销发票，确保药品购销信息可追溯。</w:t>
      </w:r>
    </w:p>
    <w:p w14:paraId="4C6A7BC9" w14:textId="77777777" w:rsidR="002B5C78" w:rsidRDefault="000E1A00">
      <w:pPr>
        <w:spacing w:line="360" w:lineRule="auto"/>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（十五）</w:t>
      </w:r>
      <w:r>
        <w:rPr>
          <w:rFonts w:ascii="仿宋_GB2312" w:eastAsia="仿宋_GB2312" w:hAnsi="仿宋_GB2312" w:cs="仿宋_GB2312" w:hint="eastAsia"/>
          <w:color w:val="000000" w:themeColor="text1"/>
          <w:sz w:val="32"/>
          <w:szCs w:val="32"/>
        </w:rPr>
        <w:t>积极引导药品零售连锁企业向偏远地区、城乡接合部、农村地区等药店数量较少、居民购药不方便的区域布局发展，药品零售连锁企业向上述地区开办直</w:t>
      </w:r>
      <w:r>
        <w:rPr>
          <w:rFonts w:ascii="仿宋_GB2312" w:eastAsia="仿宋_GB2312" w:hAnsi="仿宋_GB2312" w:cs="仿宋_GB2312" w:hint="eastAsia"/>
          <w:color w:val="000000" w:themeColor="text1"/>
          <w:sz w:val="32"/>
          <w:szCs w:val="32"/>
        </w:rPr>
        <w:t>营门店的，在符合</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保规定的纳入条件时，经申请优先纳入医保定</w:t>
      </w:r>
      <w:proofErr w:type="gramStart"/>
      <w:r>
        <w:rPr>
          <w:rFonts w:ascii="仿宋_GB2312" w:eastAsia="仿宋_GB2312" w:hAnsi="仿宋_GB2312" w:cs="仿宋_GB2312" w:hint="eastAsia"/>
          <w:color w:val="000000" w:themeColor="text1"/>
          <w:sz w:val="32"/>
          <w:szCs w:val="32"/>
        </w:rPr>
        <w:t>点协议</w:t>
      </w:r>
      <w:proofErr w:type="gramEnd"/>
      <w:r>
        <w:rPr>
          <w:rFonts w:ascii="仿宋_GB2312" w:eastAsia="仿宋_GB2312" w:hAnsi="仿宋_GB2312" w:cs="仿宋_GB2312" w:hint="eastAsia"/>
          <w:color w:val="000000" w:themeColor="text1"/>
          <w:sz w:val="32"/>
          <w:szCs w:val="32"/>
        </w:rPr>
        <w:t>管理。对于符合审批开办条件且网点在农村或偏远地区的，审批部门优先审批，从而切实提高药品供应的安全性、便利性、可及性。</w:t>
      </w:r>
      <w:r>
        <w:rPr>
          <w:rFonts w:ascii="仿宋_GB2312" w:eastAsia="仿宋_GB2312" w:hAnsi="仿宋_GB2312" w:cs="仿宋_GB2312" w:hint="eastAsia"/>
          <w:color w:val="000000" w:themeColor="text1"/>
          <w:sz w:val="32"/>
          <w:szCs w:val="32"/>
        </w:rPr>
        <w:t xml:space="preserve"> </w:t>
      </w:r>
    </w:p>
    <w:p w14:paraId="2C1BA6F6" w14:textId="77777777" w:rsidR="002B5C78" w:rsidRDefault="000E1A00">
      <w:pPr>
        <w:spacing w:line="360" w:lineRule="auto"/>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（十六）</w:t>
      </w:r>
      <w:r>
        <w:rPr>
          <w:rFonts w:ascii="仿宋_GB2312" w:eastAsia="仿宋_GB2312" w:hAnsi="仿宋_GB2312" w:cs="仿宋_GB2312" w:hint="eastAsia"/>
          <w:color w:val="000000" w:themeColor="text1"/>
          <w:sz w:val="32"/>
          <w:szCs w:val="32"/>
        </w:rPr>
        <w:t>允许药品零售连锁企业直营门店开展网络销售业务时从连锁总部仓库采集药品追溯码后直接发货，配送过程应遵守《药品经营质量管理规范》（附录</w:t>
      </w:r>
      <w:r>
        <w:rPr>
          <w:rFonts w:ascii="仿宋_GB2312" w:eastAsia="仿宋_GB2312" w:hAnsi="仿宋_GB2312" w:cs="仿宋_GB2312" w:hint="eastAsia"/>
          <w:color w:val="000000" w:themeColor="text1"/>
          <w:sz w:val="32"/>
          <w:szCs w:val="32"/>
        </w:rPr>
        <w:t>6-</w:t>
      </w:r>
      <w:r>
        <w:rPr>
          <w:rFonts w:ascii="仿宋_GB2312" w:eastAsia="仿宋_GB2312" w:hAnsi="仿宋_GB2312" w:cs="仿宋_GB2312" w:hint="eastAsia"/>
          <w:color w:val="000000" w:themeColor="text1"/>
          <w:sz w:val="32"/>
          <w:szCs w:val="32"/>
        </w:rPr>
        <w:t>药品零售配送质量管理）相关规定。网络销售主体仍为直营门店，</w:t>
      </w:r>
      <w:proofErr w:type="gramStart"/>
      <w:r>
        <w:rPr>
          <w:rFonts w:ascii="仿宋_GB2312" w:eastAsia="仿宋_GB2312" w:hAnsi="仿宋_GB2312" w:cs="仿宋_GB2312" w:hint="eastAsia"/>
          <w:color w:val="000000" w:themeColor="text1"/>
          <w:sz w:val="32"/>
          <w:szCs w:val="32"/>
        </w:rPr>
        <w:t>门店应如实</w:t>
      </w:r>
      <w:proofErr w:type="gramEnd"/>
      <w:r>
        <w:rPr>
          <w:rFonts w:ascii="仿宋_GB2312" w:eastAsia="仿宋_GB2312" w:hAnsi="仿宋_GB2312" w:cs="仿宋_GB2312" w:hint="eastAsia"/>
          <w:color w:val="000000" w:themeColor="text1"/>
          <w:sz w:val="32"/>
          <w:szCs w:val="32"/>
        </w:rPr>
        <w:t>、完整留存销售记录，确保线上线</w:t>
      </w:r>
      <w:proofErr w:type="gramStart"/>
      <w:r>
        <w:rPr>
          <w:rFonts w:ascii="仿宋_GB2312" w:eastAsia="仿宋_GB2312" w:hAnsi="仿宋_GB2312" w:cs="仿宋_GB2312" w:hint="eastAsia"/>
          <w:color w:val="000000" w:themeColor="text1"/>
          <w:sz w:val="32"/>
          <w:szCs w:val="32"/>
        </w:rPr>
        <w:t>下数据</w:t>
      </w:r>
      <w:proofErr w:type="gramEnd"/>
      <w:r>
        <w:rPr>
          <w:rFonts w:ascii="仿宋_GB2312" w:eastAsia="仿宋_GB2312" w:hAnsi="仿宋_GB2312" w:cs="仿宋_GB2312" w:hint="eastAsia"/>
          <w:color w:val="000000" w:themeColor="text1"/>
          <w:sz w:val="32"/>
          <w:szCs w:val="32"/>
        </w:rPr>
        <w:t>一致，无需另行生成该笔订单的收货与验收记录；连锁总部</w:t>
      </w:r>
      <w:r>
        <w:rPr>
          <w:rFonts w:ascii="仿宋_GB2312" w:eastAsia="仿宋_GB2312" w:hAnsi="仿宋_GB2312" w:cs="仿宋_GB2312" w:hint="eastAsia"/>
          <w:color w:val="000000" w:themeColor="text1"/>
          <w:sz w:val="32"/>
          <w:szCs w:val="32"/>
        </w:rPr>
        <w:t>仓库</w:t>
      </w:r>
      <w:r>
        <w:rPr>
          <w:rFonts w:ascii="仿宋_GB2312" w:eastAsia="仿宋_GB2312" w:hAnsi="仿宋_GB2312" w:cs="仿宋_GB2312" w:hint="eastAsia"/>
          <w:color w:val="000000" w:themeColor="text1"/>
          <w:sz w:val="32"/>
          <w:szCs w:val="32"/>
        </w:rPr>
        <w:t>须严格履行出库质量把关责任，按规定做好出库复核记录，确保药品出库质量合格、去向清晰、记录完整。</w:t>
      </w:r>
    </w:p>
    <w:p w14:paraId="3BE0F625" w14:textId="77777777" w:rsidR="002B5C78" w:rsidRDefault="000E1A00">
      <w:pPr>
        <w:spacing w:line="360" w:lineRule="auto"/>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（十七）</w:t>
      </w:r>
      <w:r>
        <w:rPr>
          <w:rFonts w:ascii="仿宋_GB2312" w:eastAsia="仿宋_GB2312" w:hAnsi="仿宋_GB2312" w:cs="仿宋_GB2312" w:hint="eastAsia"/>
          <w:color w:val="000000" w:themeColor="text1"/>
          <w:sz w:val="32"/>
          <w:szCs w:val="32"/>
        </w:rPr>
        <w:t>药品零售连锁企业和门店要严格按照药品零售连锁</w:t>
      </w:r>
      <w:r>
        <w:rPr>
          <w:rFonts w:ascii="仿宋_GB2312" w:eastAsia="仿宋_GB2312" w:hAnsi="仿宋_GB2312" w:cs="仿宋_GB2312" w:hint="eastAsia"/>
          <w:color w:val="000000" w:themeColor="text1"/>
          <w:sz w:val="32"/>
          <w:szCs w:val="32"/>
        </w:rPr>
        <w:lastRenderedPageBreak/>
        <w:t>“七统一”</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统一企业标识、统一管理制度、统一计算机系统、统一采购配送、</w:t>
      </w:r>
      <w:r>
        <w:rPr>
          <w:rFonts w:ascii="仿宋_GB2312" w:eastAsia="仿宋_GB2312" w:hAnsi="仿宋_GB2312" w:cs="仿宋_GB2312" w:hint="eastAsia"/>
          <w:color w:val="000000" w:themeColor="text1"/>
          <w:sz w:val="32"/>
          <w:szCs w:val="32"/>
        </w:rPr>
        <w:t>统一票据管理、统一药学服务标准规范、统一人员培训）要求，实施统一管理，连锁总部承担主体责任，门店承担具体管理责任，双方要形成风险共担，发展共享，权责清晰的良性发展格局。</w:t>
      </w:r>
      <w:r>
        <w:rPr>
          <w:rFonts w:ascii="仿宋_GB2312" w:eastAsia="仿宋_GB2312" w:hAnsi="仿宋_GB2312" w:cs="仿宋_GB2312" w:hint="eastAsia"/>
          <w:color w:val="000000" w:themeColor="text1"/>
          <w:sz w:val="32"/>
          <w:szCs w:val="32"/>
        </w:rPr>
        <w:t xml:space="preserve"> </w:t>
      </w:r>
    </w:p>
    <w:p w14:paraId="404FCDEC" w14:textId="77777777" w:rsidR="002B5C78" w:rsidRDefault="000E1A00">
      <w:pPr>
        <w:spacing w:line="360" w:lineRule="auto"/>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四、</w:t>
      </w:r>
      <w:r>
        <w:rPr>
          <w:rFonts w:ascii="黑体" w:eastAsia="黑体" w:hAnsi="黑体" w:cs="黑体" w:hint="eastAsia"/>
          <w:color w:val="000000" w:themeColor="text1"/>
          <w:sz w:val="32"/>
          <w:szCs w:val="32"/>
        </w:rPr>
        <w:t>提升药品经营管理能力</w:t>
      </w:r>
    </w:p>
    <w:p w14:paraId="509BA077" w14:textId="77777777" w:rsidR="002B5C78" w:rsidRDefault="000E1A00">
      <w:pPr>
        <w:spacing w:line="360" w:lineRule="auto"/>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（十八）</w:t>
      </w:r>
      <w:r>
        <w:rPr>
          <w:rFonts w:ascii="仿宋_GB2312" w:eastAsia="仿宋_GB2312" w:hAnsi="仿宋_GB2312" w:cs="仿宋_GB2312" w:hint="eastAsia"/>
          <w:color w:val="000000" w:themeColor="text1"/>
          <w:sz w:val="32"/>
          <w:szCs w:val="32"/>
        </w:rPr>
        <w:t>鼓励药品零售连锁企业开展电子处方及</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保结算单以电子记录进行存档。</w:t>
      </w:r>
      <w:proofErr w:type="gramStart"/>
      <w:r>
        <w:rPr>
          <w:rFonts w:ascii="仿宋_GB2312" w:eastAsia="仿宋_GB2312" w:hAnsi="仿宋_GB2312" w:cs="仿宋_GB2312" w:hint="eastAsia"/>
          <w:color w:val="000000" w:themeColor="text1"/>
          <w:sz w:val="32"/>
          <w:szCs w:val="32"/>
        </w:rPr>
        <w:t>经符合</w:t>
      </w:r>
      <w:proofErr w:type="gramEnd"/>
      <w:r>
        <w:rPr>
          <w:rFonts w:ascii="仿宋_GB2312" w:eastAsia="仿宋_GB2312" w:hAnsi="仿宋_GB2312" w:cs="仿宋_GB2312" w:hint="eastAsia"/>
          <w:color w:val="000000" w:themeColor="text1"/>
          <w:sz w:val="32"/>
          <w:szCs w:val="32"/>
        </w:rPr>
        <w:t>法律规定的电子签名（或电子签章）认证的电子处方及医保结算单等电子记录，与纸质资料具有同等法律效力。</w:t>
      </w:r>
      <w:r>
        <w:rPr>
          <w:rFonts w:ascii="仿宋_GB2312" w:eastAsia="仿宋_GB2312" w:hAnsi="仿宋_GB2312" w:cs="仿宋_GB2312" w:hint="eastAsia"/>
          <w:color w:val="000000" w:themeColor="text1"/>
          <w:sz w:val="32"/>
          <w:szCs w:val="32"/>
        </w:rPr>
        <w:t xml:space="preserve"> </w:t>
      </w:r>
    </w:p>
    <w:p w14:paraId="7D67C4E0" w14:textId="77777777" w:rsidR="002B5C78" w:rsidRDefault="000E1A00">
      <w:pPr>
        <w:pStyle w:val="a5"/>
        <w:widowControl/>
        <w:spacing w:beforeAutospacing="0" w:afterAutospacing="0" w:line="360" w:lineRule="auto"/>
        <w:ind w:firstLineChars="200" w:firstLine="640"/>
        <w:jc w:val="both"/>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十九</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推动药品零售企业加强药品追溯管理和应用，提升用药安全监管、</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w:t>
      </w:r>
      <w:proofErr w:type="gramStart"/>
      <w:r>
        <w:rPr>
          <w:rFonts w:ascii="仿宋_GB2312" w:eastAsia="仿宋_GB2312" w:hAnsi="仿宋_GB2312" w:cs="仿宋_GB2312" w:hint="eastAsia"/>
          <w:color w:val="000000" w:themeColor="text1"/>
          <w:sz w:val="32"/>
          <w:szCs w:val="32"/>
        </w:rPr>
        <w:t>基金风控和</w:t>
      </w:r>
      <w:proofErr w:type="gramEnd"/>
      <w:r>
        <w:rPr>
          <w:rFonts w:ascii="仿宋_GB2312" w:eastAsia="仿宋_GB2312" w:hAnsi="仿宋_GB2312" w:cs="仿宋_GB2312" w:hint="eastAsia"/>
          <w:color w:val="000000" w:themeColor="text1"/>
          <w:sz w:val="32"/>
          <w:szCs w:val="32"/>
        </w:rPr>
        <w:t>全链条药品追溯</w:t>
      </w:r>
      <w:r>
        <w:rPr>
          <w:rFonts w:ascii="仿宋_GB2312" w:eastAsia="仿宋_GB2312" w:hAnsi="仿宋_GB2312" w:cs="仿宋_GB2312" w:hint="eastAsia"/>
          <w:color w:val="000000" w:themeColor="text1"/>
          <w:sz w:val="32"/>
          <w:szCs w:val="32"/>
        </w:rPr>
        <w:t>效能</w:t>
      </w:r>
      <w:r>
        <w:rPr>
          <w:rFonts w:ascii="仿宋_GB2312" w:eastAsia="仿宋_GB2312" w:hAnsi="仿宋_GB2312" w:cs="仿宋_GB2312" w:hint="eastAsia"/>
          <w:color w:val="000000" w:themeColor="text1"/>
          <w:sz w:val="32"/>
          <w:szCs w:val="32"/>
        </w:rPr>
        <w:t>。指导药品零售企业在销售药品时准确采集、核验药品追溯码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并</w:t>
      </w:r>
      <w:r>
        <w:rPr>
          <w:rFonts w:ascii="仿宋_GB2312" w:eastAsia="仿宋_GB2312" w:hAnsi="仿宋_GB2312" w:cs="仿宋_GB2312" w:hint="eastAsia"/>
          <w:color w:val="000000" w:themeColor="text1"/>
          <w:sz w:val="32"/>
          <w:szCs w:val="32"/>
        </w:rPr>
        <w:t>实时上传追溯数据到药品信息化追溯平台和</w:t>
      </w:r>
      <w:proofErr w:type="gramStart"/>
      <w:r>
        <w:rPr>
          <w:rFonts w:ascii="仿宋_GB2312" w:eastAsia="仿宋_GB2312" w:hAnsi="仿宋_GB2312" w:cs="仿宋_GB2312" w:hint="eastAsia"/>
          <w:color w:val="000000" w:themeColor="text1"/>
          <w:sz w:val="32"/>
          <w:szCs w:val="32"/>
        </w:rPr>
        <w:t>医保</w:t>
      </w:r>
      <w:proofErr w:type="gramEnd"/>
      <w:r>
        <w:rPr>
          <w:rFonts w:ascii="仿宋_GB2312" w:eastAsia="仿宋_GB2312" w:hAnsi="仿宋_GB2312" w:cs="仿宋_GB2312" w:hint="eastAsia"/>
          <w:color w:val="000000" w:themeColor="text1"/>
          <w:sz w:val="32"/>
          <w:szCs w:val="32"/>
        </w:rPr>
        <w:t>信息平台。</w:t>
      </w:r>
    </w:p>
    <w:p w14:paraId="10F8C8CD" w14:textId="77777777" w:rsidR="002B5C78" w:rsidRDefault="000E1A00">
      <w:pPr>
        <w:pStyle w:val="a5"/>
        <w:widowControl/>
        <w:spacing w:beforeAutospacing="0" w:afterAutospacing="0" w:line="360" w:lineRule="auto"/>
        <w:ind w:firstLineChars="200" w:firstLine="640"/>
        <w:jc w:val="both"/>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二十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引导药品零售企业提升管理能力，在依法依规的前提下探索按照功能和主治关联陈列药品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支持老字号药品零售企业创新发展</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结合一刻钟便民生活圈建设，鼓励品牌连锁药店进社区、进乡镇，</w:t>
      </w:r>
      <w:proofErr w:type="gramStart"/>
      <w:r>
        <w:rPr>
          <w:rFonts w:ascii="仿宋_GB2312" w:eastAsia="仿宋_GB2312" w:hAnsi="仿宋_GB2312" w:cs="仿宋_GB2312" w:hint="eastAsia"/>
          <w:color w:val="000000" w:themeColor="text1"/>
          <w:sz w:val="32"/>
          <w:szCs w:val="32"/>
        </w:rPr>
        <w:t>鼓励商</w:t>
      </w:r>
      <w:proofErr w:type="gramEnd"/>
      <w:r>
        <w:rPr>
          <w:rFonts w:ascii="仿宋_GB2312" w:eastAsia="仿宋_GB2312" w:hAnsi="仿宋_GB2312" w:cs="仿宋_GB2312" w:hint="eastAsia"/>
          <w:color w:val="000000" w:themeColor="text1"/>
          <w:sz w:val="32"/>
          <w:szCs w:val="32"/>
        </w:rPr>
        <w:t>超、便利店等日常消费场所依法依规销售符合监管要求的药品。</w:t>
      </w:r>
    </w:p>
    <w:p w14:paraId="333C2B07" w14:textId="77777777" w:rsidR="002B5C78" w:rsidRDefault="000E1A00">
      <w:pPr>
        <w:pStyle w:val="a5"/>
        <w:widowControl/>
        <w:spacing w:beforeAutospacing="0" w:afterAutospacing="0" w:line="360" w:lineRule="auto"/>
        <w:ind w:firstLineChars="200" w:firstLine="640"/>
        <w:jc w:val="both"/>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w:t>
      </w:r>
      <w:r>
        <w:rPr>
          <w:rFonts w:ascii="仿宋_GB2312" w:eastAsia="仿宋_GB2312" w:hAnsi="仿宋_GB2312" w:cs="仿宋_GB2312" w:hint="eastAsia"/>
          <w:color w:val="000000" w:themeColor="text1"/>
          <w:sz w:val="32"/>
          <w:szCs w:val="32"/>
        </w:rPr>
        <w:t>二十一</w:t>
      </w:r>
      <w:r>
        <w:rPr>
          <w:rFonts w:ascii="仿宋_GB2312" w:eastAsia="仿宋_GB2312" w:hAnsi="仿宋_GB2312" w:cs="仿宋_GB2312" w:hint="eastAsia"/>
          <w:color w:val="000000" w:themeColor="text1"/>
          <w:sz w:val="32"/>
          <w:szCs w:val="32"/>
        </w:rPr>
        <w:t>）鼓励行业采用信息化手段提升质量管理水平，引导和推动药品流通行业升级。鼓励药品经营企业开展首</w:t>
      </w:r>
      <w:proofErr w:type="gramStart"/>
      <w:r>
        <w:rPr>
          <w:rFonts w:ascii="仿宋_GB2312" w:eastAsia="仿宋_GB2312" w:hAnsi="仿宋_GB2312" w:cs="仿宋_GB2312" w:hint="eastAsia"/>
          <w:color w:val="000000" w:themeColor="text1"/>
          <w:sz w:val="32"/>
          <w:szCs w:val="32"/>
        </w:rPr>
        <w:t>营资料</w:t>
      </w:r>
      <w:proofErr w:type="gramEnd"/>
      <w:r>
        <w:rPr>
          <w:rFonts w:ascii="仿宋_GB2312" w:eastAsia="仿宋_GB2312" w:hAnsi="仿宋_GB2312" w:cs="仿宋_GB2312" w:hint="eastAsia"/>
          <w:color w:val="000000" w:themeColor="text1"/>
          <w:sz w:val="32"/>
          <w:szCs w:val="32"/>
        </w:rPr>
        <w:t>电子化交换与管理。加盖符合法律规定的电子签名或者电子印章的首营企业、首营品种、购货单位、检验报告等资质资料，与纸质资料具有同等效力。</w:t>
      </w:r>
      <w:r>
        <w:rPr>
          <w:rFonts w:ascii="仿宋_GB2312" w:eastAsia="仿宋_GB2312" w:hAnsi="仿宋_GB2312" w:cs="仿宋_GB2312" w:hint="eastAsia"/>
          <w:color w:val="000000" w:themeColor="text1"/>
          <w:sz w:val="32"/>
          <w:szCs w:val="32"/>
        </w:rPr>
        <w:t>鼓励药品经营企业依托管理平台开展质量管理</w:t>
      </w:r>
      <w:r>
        <w:rPr>
          <w:rFonts w:ascii="仿宋_GB2312" w:eastAsia="仿宋_GB2312" w:hAnsi="仿宋_GB2312" w:cs="仿宋_GB2312" w:hint="eastAsia"/>
          <w:color w:val="000000" w:themeColor="text1"/>
          <w:sz w:val="32"/>
          <w:szCs w:val="32"/>
        </w:rPr>
        <w:t>体系文件电子化管理。实行电子化管理的，应当确保相关记录数据真实、准确、完整、可追溯，其电子资料与纸质资料具有同等法律效力。</w:t>
      </w:r>
    </w:p>
    <w:p w14:paraId="264B7B1E" w14:textId="77777777" w:rsidR="002B5C78" w:rsidRDefault="000E1A00">
      <w:pPr>
        <w:spacing w:line="360" w:lineRule="auto"/>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二十二</w:t>
      </w:r>
      <w:r>
        <w:rPr>
          <w:rFonts w:ascii="仿宋_GB2312" w:eastAsia="仿宋_GB2312" w:hAnsi="仿宋_GB2312" w:cs="仿宋_GB2312" w:hint="eastAsia"/>
          <w:color w:val="000000" w:themeColor="text1"/>
          <w:sz w:val="32"/>
          <w:szCs w:val="32"/>
        </w:rPr>
        <w:t>）允许零售连锁门店之间调剂药品（冷藏</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冷冻药品、特殊管理的药品、国家有专门管理要求的药品除外）。零售连锁总部应制定门店药品调剂管理制度，通过计算机系统对各门店间的药品调剂实行审批、追踪流向等控制性管理。门店间调剂药品应当通过计算机系统上报总部同意，并做好药品信息化追溯工作，药品的配送符合国家有关规定，调入方门店要做好药品收货、验收记录，保证药品的来源和质量可追溯。</w:t>
      </w:r>
      <w:r>
        <w:rPr>
          <w:rFonts w:ascii="仿宋_GB2312" w:eastAsia="仿宋_GB2312" w:hAnsi="仿宋_GB2312" w:cs="仿宋_GB2312" w:hint="eastAsia"/>
          <w:color w:val="000000" w:themeColor="text1"/>
          <w:sz w:val="32"/>
          <w:szCs w:val="32"/>
        </w:rPr>
        <w:t xml:space="preserve">  </w:t>
      </w:r>
    </w:p>
    <w:p w14:paraId="38BF03FE" w14:textId="77777777" w:rsidR="002B5C78" w:rsidRDefault="000E1A00">
      <w:pPr>
        <w:spacing w:line="360" w:lineRule="auto"/>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二十三</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推动建立医药机构退出预警机制，对申请注销、停业、倒闭的</w:t>
      </w:r>
      <w:r>
        <w:rPr>
          <w:rFonts w:ascii="仿宋_GB2312" w:eastAsia="仿宋_GB2312" w:hAnsi="仿宋_GB2312" w:cs="仿宋_GB2312" w:hint="eastAsia"/>
          <w:color w:val="000000" w:themeColor="text1"/>
          <w:sz w:val="32"/>
          <w:szCs w:val="32"/>
        </w:rPr>
        <w:t>机构</w:t>
      </w:r>
      <w:r>
        <w:rPr>
          <w:rFonts w:ascii="仿宋_GB2312" w:eastAsia="仿宋_GB2312" w:hAnsi="仿宋_GB2312" w:cs="仿宋_GB2312" w:hint="eastAsia"/>
          <w:color w:val="000000" w:themeColor="text1"/>
          <w:sz w:val="32"/>
          <w:szCs w:val="32"/>
        </w:rPr>
        <w:t>需经相关监管部门核查是否存在违法违规行为后方可办理注销手续，并对库存药品依法合</w:t>
      </w:r>
      <w:proofErr w:type="gramStart"/>
      <w:r>
        <w:rPr>
          <w:rFonts w:ascii="仿宋_GB2312" w:eastAsia="仿宋_GB2312" w:hAnsi="仿宋_GB2312" w:cs="仿宋_GB2312" w:hint="eastAsia"/>
          <w:color w:val="000000" w:themeColor="text1"/>
          <w:sz w:val="32"/>
          <w:szCs w:val="32"/>
        </w:rPr>
        <w:t>规</w:t>
      </w:r>
      <w:proofErr w:type="gramEnd"/>
      <w:r>
        <w:rPr>
          <w:rFonts w:ascii="仿宋_GB2312" w:eastAsia="仿宋_GB2312" w:hAnsi="仿宋_GB2312" w:cs="仿宋_GB2312" w:hint="eastAsia"/>
          <w:color w:val="000000" w:themeColor="text1"/>
          <w:sz w:val="32"/>
          <w:szCs w:val="32"/>
        </w:rPr>
        <w:t>处理。</w:t>
      </w:r>
      <w:r>
        <w:rPr>
          <w:rFonts w:ascii="Nimbus Roman No9 L" w:eastAsia="仿宋_GB2312" w:hAnsi="Nimbus Roman No9 L" w:cs="Nimbus Roman No9 L" w:hint="eastAsia"/>
          <w:color w:val="000000" w:themeColor="text1"/>
          <w:kern w:val="0"/>
          <w:sz w:val="32"/>
          <w:szCs w:val="32"/>
        </w:rPr>
        <w:t>依据</w:t>
      </w:r>
      <w:r>
        <w:rPr>
          <w:rFonts w:ascii="Nimbus Roman No9 L" w:eastAsia="仿宋_GB2312" w:hAnsi="Nimbus Roman No9 L" w:cs="Nimbus Roman No9 L"/>
          <w:color w:val="000000" w:themeColor="text1"/>
          <w:kern w:val="0"/>
          <w:sz w:val="32"/>
          <w:szCs w:val="32"/>
        </w:rPr>
        <w:t>《中华人民共和国公司法》</w:t>
      </w:r>
      <w:r>
        <w:rPr>
          <w:rFonts w:ascii="Nimbus Roman No9 L" w:eastAsia="仿宋_GB2312" w:hAnsi="Nimbus Roman No9 L" w:cs="Nimbus Roman No9 L" w:hint="eastAsia"/>
          <w:color w:val="000000" w:themeColor="text1"/>
          <w:kern w:val="0"/>
          <w:sz w:val="32"/>
          <w:szCs w:val="32"/>
        </w:rPr>
        <w:t>的规定，</w:t>
      </w:r>
      <w:r>
        <w:rPr>
          <w:rFonts w:ascii="Nimbus Roman No9 L" w:eastAsia="仿宋_GB2312" w:hAnsi="Nimbus Roman No9 L" w:cs="Nimbus Roman No9 L"/>
          <w:color w:val="000000" w:themeColor="text1"/>
          <w:kern w:val="0"/>
          <w:sz w:val="32"/>
          <w:szCs w:val="32"/>
        </w:rPr>
        <w:t>如企业</w:t>
      </w:r>
      <w:r>
        <w:rPr>
          <w:rFonts w:ascii="Nimbus Roman No9 L" w:eastAsia="仿宋_GB2312" w:hAnsi="Nimbus Roman No9 L" w:cs="Nimbus Roman No9 L"/>
          <w:color w:val="000000" w:themeColor="text1"/>
          <w:sz w:val="32"/>
          <w:szCs w:val="32"/>
        </w:rPr>
        <w:t>成立后无正当理由超过六个月未开业的，或者开业后自行停业连续六个月以上的，</w:t>
      </w:r>
      <w:r>
        <w:rPr>
          <w:rFonts w:ascii="Nimbus Roman No9 L" w:eastAsia="仿宋_GB2312" w:hAnsi="Nimbus Roman No9 L" w:cs="Nimbus Roman No9 L"/>
          <w:color w:val="000000" w:themeColor="text1"/>
          <w:sz w:val="32"/>
          <w:szCs w:val="32"/>
        </w:rPr>
        <w:t>企业</w:t>
      </w:r>
      <w:r>
        <w:rPr>
          <w:rFonts w:ascii="Nimbus Roman No9 L" w:eastAsia="仿宋_GB2312" w:hAnsi="Nimbus Roman No9 L" w:cs="Nimbus Roman No9 L"/>
          <w:color w:val="000000" w:themeColor="text1"/>
          <w:sz w:val="32"/>
          <w:szCs w:val="32"/>
        </w:rPr>
        <w:t>登记</w:t>
      </w:r>
      <w:r>
        <w:rPr>
          <w:rFonts w:ascii="Nimbus Roman No9 L" w:eastAsia="仿宋_GB2312" w:hAnsi="Nimbus Roman No9 L" w:cs="Nimbus Roman No9 L"/>
          <w:color w:val="000000" w:themeColor="text1"/>
          <w:sz w:val="32"/>
          <w:szCs w:val="32"/>
        </w:rPr>
        <w:lastRenderedPageBreak/>
        <w:t>机关可以吊销营业执照，但</w:t>
      </w:r>
      <w:r>
        <w:rPr>
          <w:rFonts w:ascii="Nimbus Roman No9 L" w:eastAsia="仿宋_GB2312" w:hAnsi="Nimbus Roman No9 L" w:cs="Nimbus Roman No9 L"/>
          <w:color w:val="000000" w:themeColor="text1"/>
          <w:sz w:val="32"/>
          <w:szCs w:val="32"/>
        </w:rPr>
        <w:t>企业</w:t>
      </w:r>
      <w:r>
        <w:rPr>
          <w:rFonts w:ascii="Nimbus Roman No9 L" w:eastAsia="仿宋_GB2312" w:hAnsi="Nimbus Roman No9 L" w:cs="Nimbus Roman No9 L"/>
          <w:color w:val="000000" w:themeColor="text1"/>
          <w:sz w:val="32"/>
          <w:szCs w:val="32"/>
        </w:rPr>
        <w:t>依法办理歇业的除外。</w:t>
      </w:r>
      <w:r>
        <w:rPr>
          <w:rFonts w:ascii="仿宋_GB2312" w:eastAsia="仿宋_GB2312" w:hAnsi="仿宋_GB2312" w:cs="仿宋_GB2312" w:hint="eastAsia"/>
          <w:color w:val="000000" w:themeColor="text1"/>
          <w:sz w:val="32"/>
          <w:szCs w:val="32"/>
        </w:rPr>
        <w:t xml:space="preserve"> </w:t>
      </w:r>
    </w:p>
    <w:p w14:paraId="1308F5CD" w14:textId="77777777" w:rsidR="002B5C78" w:rsidRDefault="000E1A00">
      <w:pPr>
        <w:pStyle w:val="a5"/>
        <w:widowControl/>
        <w:spacing w:beforeAutospacing="0" w:afterAutospacing="0" w:line="360" w:lineRule="auto"/>
        <w:ind w:firstLineChars="200" w:firstLine="640"/>
        <w:jc w:val="both"/>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（二十四）强化行业自律，严格落实药品经营企业主体责任，增强定点药店</w:t>
      </w:r>
      <w:proofErr w:type="gramStart"/>
      <w:r>
        <w:rPr>
          <w:rFonts w:ascii="仿宋_GB2312" w:eastAsia="仿宋_GB2312" w:hAnsi="仿宋_GB2312" w:cs="仿宋_GB2312" w:hint="eastAsia"/>
          <w:color w:val="000000" w:themeColor="text1"/>
          <w:sz w:val="32"/>
          <w:szCs w:val="32"/>
        </w:rPr>
        <w:t>医</w:t>
      </w:r>
      <w:proofErr w:type="gramEnd"/>
      <w:r>
        <w:rPr>
          <w:rFonts w:ascii="仿宋_GB2312" w:eastAsia="仿宋_GB2312" w:hAnsi="仿宋_GB2312" w:cs="仿宋_GB2312" w:hint="eastAsia"/>
          <w:color w:val="000000" w:themeColor="text1"/>
          <w:sz w:val="32"/>
          <w:szCs w:val="32"/>
        </w:rPr>
        <w:t>保基金使用风险防范意识，建立健全定点药店内部管理制度，落实医保基金使用管理责任，杜绝虚假处方、</w:t>
      </w:r>
      <w:proofErr w:type="gramStart"/>
      <w:r>
        <w:rPr>
          <w:rFonts w:ascii="仿宋_GB2312" w:eastAsia="仿宋_GB2312" w:hAnsi="仿宋_GB2312" w:cs="仿宋_GB2312" w:hint="eastAsia"/>
          <w:color w:val="000000" w:themeColor="text1"/>
          <w:sz w:val="32"/>
          <w:szCs w:val="32"/>
        </w:rPr>
        <w:t>先药后方</w:t>
      </w:r>
      <w:proofErr w:type="gramEnd"/>
      <w:r>
        <w:rPr>
          <w:rFonts w:ascii="仿宋_GB2312" w:eastAsia="仿宋_GB2312" w:hAnsi="仿宋_GB2312" w:cs="仿宋_GB2312" w:hint="eastAsia"/>
          <w:color w:val="000000" w:themeColor="text1"/>
          <w:sz w:val="32"/>
          <w:szCs w:val="32"/>
        </w:rPr>
        <w:t>、串换药品、诱导套现等违法违规行为，确保医保基金安全合理使用。</w:t>
      </w:r>
    </w:p>
    <w:sectPr w:rsidR="002B5C78">
      <w:footerReference w:type="default" r:id="rId8"/>
      <w:pgSz w:w="11906" w:h="16838"/>
      <w:pgMar w:top="2098" w:right="1474" w:bottom="1984"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67D32" w14:textId="77777777" w:rsidR="000E1A00" w:rsidRDefault="000E1A00">
      <w:r>
        <w:separator/>
      </w:r>
    </w:p>
  </w:endnote>
  <w:endnote w:type="continuationSeparator" w:id="0">
    <w:p w14:paraId="3ABA1729" w14:textId="77777777" w:rsidR="000E1A00" w:rsidRDefault="000E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Nimbus Roman No9 L">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95BEC" w14:textId="77777777" w:rsidR="002B5C78" w:rsidRDefault="000E1A00">
    <w:pPr>
      <w:pStyle w:val="a3"/>
    </w:pPr>
    <w:r>
      <w:rPr>
        <w:noProof/>
      </w:rPr>
      <mc:AlternateContent>
        <mc:Choice Requires="wps">
          <w:drawing>
            <wp:anchor distT="0" distB="0" distL="114300" distR="114300" simplePos="0" relativeHeight="251659264" behindDoc="0" locked="0" layoutInCell="1" allowOverlap="1" wp14:anchorId="31DACC39" wp14:editId="31D97190">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66665" w14:textId="77777777" w:rsidR="002B5C78" w:rsidRDefault="000E1A00">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1DACC39"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14:paraId="7DE66665" w14:textId="77777777" w:rsidR="002B5C78" w:rsidRDefault="000E1A00">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48582" w14:textId="77777777" w:rsidR="000E1A00" w:rsidRDefault="000E1A00">
      <w:r>
        <w:separator/>
      </w:r>
    </w:p>
  </w:footnote>
  <w:footnote w:type="continuationSeparator" w:id="0">
    <w:p w14:paraId="6C81992A" w14:textId="77777777" w:rsidR="000E1A00" w:rsidRDefault="000E1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1489B3"/>
    <w:multiLevelType w:val="singleLevel"/>
    <w:tmpl w:val="A61489B3"/>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E5D717E"/>
    <w:rsid w:val="F55E2815"/>
    <w:rsid w:val="000E1A00"/>
    <w:rsid w:val="002B5C78"/>
    <w:rsid w:val="005F4F40"/>
    <w:rsid w:val="00D000BF"/>
    <w:rsid w:val="01BE530B"/>
    <w:rsid w:val="049A4C58"/>
    <w:rsid w:val="05E43017"/>
    <w:rsid w:val="079B213E"/>
    <w:rsid w:val="098C3EB2"/>
    <w:rsid w:val="0C991DF5"/>
    <w:rsid w:val="0D0F13D2"/>
    <w:rsid w:val="0D8E6A5B"/>
    <w:rsid w:val="0EE5282B"/>
    <w:rsid w:val="130E0CA4"/>
    <w:rsid w:val="15A703A2"/>
    <w:rsid w:val="186548DA"/>
    <w:rsid w:val="190D7B62"/>
    <w:rsid w:val="19C332D1"/>
    <w:rsid w:val="1E454CA0"/>
    <w:rsid w:val="20604E7A"/>
    <w:rsid w:val="22702D28"/>
    <w:rsid w:val="22D57D47"/>
    <w:rsid w:val="23F073B8"/>
    <w:rsid w:val="26825FC5"/>
    <w:rsid w:val="292674AB"/>
    <w:rsid w:val="2A6D6B3A"/>
    <w:rsid w:val="2FFB7F27"/>
    <w:rsid w:val="3050329E"/>
    <w:rsid w:val="31845CF7"/>
    <w:rsid w:val="364767FC"/>
    <w:rsid w:val="366B636A"/>
    <w:rsid w:val="37CE23AD"/>
    <w:rsid w:val="37FE75A6"/>
    <w:rsid w:val="3A8D2BD6"/>
    <w:rsid w:val="3E0B017D"/>
    <w:rsid w:val="3F8362CA"/>
    <w:rsid w:val="4C747415"/>
    <w:rsid w:val="52F70019"/>
    <w:rsid w:val="556F3D31"/>
    <w:rsid w:val="56F42740"/>
    <w:rsid w:val="589C308F"/>
    <w:rsid w:val="5B341A1B"/>
    <w:rsid w:val="5C613A56"/>
    <w:rsid w:val="5CD86660"/>
    <w:rsid w:val="5E705DCB"/>
    <w:rsid w:val="5F025C16"/>
    <w:rsid w:val="613E285F"/>
    <w:rsid w:val="61534507"/>
    <w:rsid w:val="663674B6"/>
    <w:rsid w:val="6D2A0453"/>
    <w:rsid w:val="6E3E6431"/>
    <w:rsid w:val="7028329E"/>
    <w:rsid w:val="71500A63"/>
    <w:rsid w:val="756775F9"/>
    <w:rsid w:val="77943A58"/>
    <w:rsid w:val="7A163F6A"/>
    <w:rsid w:val="7B5E5C15"/>
    <w:rsid w:val="7E5D7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A8EB38"/>
  <w15:docId w15:val="{9A7A43B3-27B9-4753-A9BB-891A805F1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619</Words>
  <Characters>3533</Characters>
  <Application>Microsoft Office Word</Application>
  <DocSecurity>0</DocSecurity>
  <Lines>29</Lines>
  <Paragraphs>8</Paragraphs>
  <ScaleCrop>false</ScaleCrop>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WPS_1559611637</dc:creator>
  <cp:lastModifiedBy>阿斯顿</cp:lastModifiedBy>
  <cp:revision>2</cp:revision>
  <cp:lastPrinted>2026-08-26T01:54:00Z</cp:lastPrinted>
  <dcterms:created xsi:type="dcterms:W3CDTF">2026-10-09T06:43:00Z</dcterms:created>
  <dcterms:modified xsi:type="dcterms:W3CDTF">2026-10-09T06:43:00Z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57C8AB5B08B94EF88E5E2739C2032B19_11</vt:lpwstr>
  </property>
  <property fmtid="{D5CDD505-2E9C-101B-9397-08002B2CF9AE}" pid="4" name="KSOTemplateDocerSaveRecord">
    <vt:lpwstr>eyJoZGlkIjoiMmEyNGViNzk5ZGExYTM0NjhmYWRkYzE5M2VlMWZmMTEiLCJ1c2VySWQiOiI1NzEwNTYxNzQifQ==</vt:lpwstr>
  </property>
</Properties>
</file>